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5E" w:rsidRPr="001039D4" w:rsidRDefault="00EE5E86" w:rsidP="00EE5E86">
      <w:pPr>
        <w:tabs>
          <w:tab w:val="center" w:pos="4153"/>
          <w:tab w:val="right" w:pos="8306"/>
        </w:tabs>
        <w:rPr>
          <w:b/>
        </w:rPr>
      </w:pPr>
      <w:bookmarkStart w:id="0" w:name="_GoBack"/>
      <w:bookmarkEnd w:id="0"/>
      <w:r w:rsidRPr="001039D4">
        <w:rPr>
          <w:b/>
        </w:rPr>
        <w:tab/>
      </w:r>
      <w:r w:rsidR="000F7E5E" w:rsidRPr="001039D4">
        <w:rPr>
          <w:b/>
          <w:noProof/>
          <w:color w:val="FF0000"/>
          <w:lang w:eastAsia="el-GR"/>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158115</wp:posOffset>
                </wp:positionV>
                <wp:extent cx="5457825" cy="323850"/>
                <wp:effectExtent l="0" t="0" r="28575" b="19050"/>
                <wp:wrapNone/>
                <wp:docPr id="3" name="Ορθογώνιο 3"/>
                <wp:cNvGraphicFramePr/>
                <a:graphic xmlns:a="http://schemas.openxmlformats.org/drawingml/2006/main">
                  <a:graphicData uri="http://schemas.microsoft.com/office/word/2010/wordprocessingShape">
                    <wps:wsp>
                      <wps:cNvSpPr/>
                      <wps:spPr>
                        <a:xfrm>
                          <a:off x="0" y="0"/>
                          <a:ext cx="5457825" cy="32385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AEB5A" id="Ορθογώνιο 3" o:spid="_x0000_s1026" style="position:absolute;margin-left:0;margin-top:12.45pt;width:429.75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iVsgIAALQFAAAOAAAAZHJzL2Uyb0RvYy54bWysVM1uFDEMviPxDlHudPa3lFVnq1WrIqTS&#10;VrSo5zSTdEZK4pBk/7jxAn0FHoILHFDfYPpKOJnZ6ao/HBB7mLUd+3P8xfb+wUorshDOV2By2t/p&#10;USIMh6IyNzn9fHn8Zo8SH5gpmAIjcroWnh5MX7/aX9qJGEAJqhCOIIjxk6XNaRmCnWSZ56XQzO+A&#10;FQYPJTjNAqruJiscWyK6Vtmg19vNluAK64AL79F61BzSacKXUvBwJqUXgaic4t1C+rr0vY7fbLrP&#10;JjeO2bLi7TXYP9xCs8pg0g7qiAVG5q56AqUr7sCDDDscdAZSVlykGrCafu9RNRclsyLVguR429Hk&#10;/x8sP12cO1IVOR1SYpjGJ6q/33+rf9Z39Y/72/p3/au+I8PI09L6Cbpf2HPXah7FWPRKOh3/sRyy&#10;StyuO27FKhCOxvFo/HZvMKaE49lwMNwbJ/Kzh2jrfHgvQJMo5NTh2yVK2eLEB8yIrhuXmMyDqorj&#10;SqmkxH4Rh8qRBcOXZpwLE/opXM31Ryga+24Pf82boxk7ozGPNmZMkTovIqWEW0myWH9TcZLCWomY&#10;WplPQiKDWOMgJewQnt7Fl6wQjXn8Ys4EGJElFtdhN8W8gN2w0/rHUJFavwvu/e1iTXAXkTKDCV2w&#10;rgy45wAUMtxmbvyRsi1qongNxRr7y0EzeN7y4wpf94T5cM4cThrOJG6PcIYfqWCZU2glSkpwX5+z&#10;R38cADylZImTm1P/Zc6coER9MDga7/qjURz1pGDXDVBx2yfX2ydmrg8BW6aPe8ryJEb/oDaidKCv&#10;cMnMYlY8YoZj7pzy4DbKYWg2Cq4pLmaz5IbjbVk4MReWR/DIauzey9UVc7Zt8YDDcQqbKWeTR53e&#10;+MZIA7N5AFmlMXjgteUbV0Nq1naNxd2zrSevh2U7/QMAAP//AwBQSwMEFAAGAAgAAAAhABH2AQDe&#10;AAAABgEAAA8AAABkcnMvZG93bnJldi54bWxMj8FOwzAQRO9I/IO1SNyoQyHQhDhVAaFKPSBoK/Xq&#10;xksSYa+j2GkCX89yguNoRjNviuXkrDhhH1pPCq5nCQikypuWagX73cvVAkSImoy2nlDBFwZYludn&#10;hc6NH+kdT9tYCy6hkGsFTYxdLmWoGnQ6zHyHxN6H752OLPtaml6PXO6snCfJnXS6JV5odIdPDVaf&#10;28Hx7uP3amNxfN3hsN7c4OGwf35bK3V5Ma0eQESc4l8YfvEZHUpmOvqBTBBWAR+JCua3GQh2F2mW&#10;gjgquE8zkGUh/+OXPwAAAP//AwBQSwECLQAUAAYACAAAACEAtoM4kv4AAADhAQAAEwAAAAAAAAAA&#10;AAAAAAAAAAAAW0NvbnRlbnRfVHlwZXNdLnhtbFBLAQItABQABgAIAAAAIQA4/SH/1gAAAJQBAAAL&#10;AAAAAAAAAAAAAAAAAC8BAABfcmVscy8ucmVsc1BLAQItABQABgAIAAAAIQDIHFiVsgIAALQFAAAO&#10;AAAAAAAAAAAAAAAAAC4CAABkcnMvZTJvRG9jLnhtbFBLAQItABQABgAIAAAAIQAR9gEA3gAAAAYB&#10;AAAPAAAAAAAAAAAAAAAAAAwFAABkcnMvZG93bnJldi54bWxQSwUGAAAAAAQABADzAAAAFwYAAAAA&#10;" fillcolor="#9cc2e5 [1940]" strokecolor="#1f4d78 [1604]" strokeweight="1pt"/>
            </w:pict>
          </mc:Fallback>
        </mc:AlternateContent>
      </w:r>
      <w:r w:rsidRPr="001039D4">
        <w:rPr>
          <w:b/>
        </w:rPr>
        <w:tab/>
      </w:r>
    </w:p>
    <w:p w:rsidR="00081E90" w:rsidRPr="001039D4" w:rsidRDefault="000F7E5E" w:rsidP="000F7E5E">
      <w:pPr>
        <w:tabs>
          <w:tab w:val="center" w:pos="4153"/>
          <w:tab w:val="right" w:pos="8306"/>
        </w:tabs>
        <w:rPr>
          <w:b/>
        </w:rPr>
      </w:pPr>
      <w:r w:rsidRPr="001039D4">
        <w:rPr>
          <w:b/>
        </w:rPr>
        <w:tab/>
      </w:r>
      <w:r w:rsidR="00081E90" w:rsidRPr="001039D4">
        <w:rPr>
          <w:b/>
        </w:rPr>
        <w:t xml:space="preserve"> ΣΤΡΑΤΗΓΙΚΗ ΔΙΕΘΝΟΠΟΙΗΣΗΣ </w:t>
      </w:r>
      <w:r w:rsidRPr="001039D4">
        <w:rPr>
          <w:b/>
        </w:rPr>
        <w:tab/>
      </w:r>
    </w:p>
    <w:p w:rsidR="007A4119" w:rsidRPr="001039D4" w:rsidRDefault="007A4119" w:rsidP="007A4119">
      <w:pPr>
        <w:jc w:val="center"/>
        <w:rPr>
          <w:i/>
          <w:color w:val="0070C0"/>
        </w:rPr>
      </w:pPr>
      <w:r w:rsidRPr="001039D4">
        <w:rPr>
          <w:b/>
          <w:i/>
        </w:rPr>
        <w:t xml:space="preserve">Διαθέσιμη στο </w:t>
      </w:r>
      <w:hyperlink r:id="rId8" w:history="1">
        <w:r w:rsidRPr="001039D4">
          <w:rPr>
            <w:rStyle w:val="-"/>
            <w:i/>
            <w:color w:val="0070C0"/>
            <w:u w:val="none"/>
          </w:rPr>
          <w:t>http://erasmus.uop.gr/index.php/erasmus-policy-statement</w:t>
        </w:r>
      </w:hyperlink>
      <w:r w:rsidR="000F7E5E" w:rsidRPr="001039D4">
        <w:rPr>
          <w:i/>
          <w:color w:val="0070C0"/>
        </w:rPr>
        <w:t xml:space="preserve"> </w:t>
      </w:r>
    </w:p>
    <w:p w:rsidR="00081E90" w:rsidRPr="001039D4" w:rsidRDefault="00081E90" w:rsidP="00081E90">
      <w:pPr>
        <w:jc w:val="both"/>
        <w:rPr>
          <w:b/>
          <w:u w:val="single"/>
        </w:rPr>
      </w:pPr>
      <w:r w:rsidRPr="001039D4">
        <w:t>Οι βασικές αρχές της στρατηγικής του Ιδρύματός μας προς την κατεύθυνση της διεθνοποίησης, συνοψίζονται σε τρεις δράσεις-κλειδιά :</w:t>
      </w:r>
    </w:p>
    <w:p w:rsidR="00081E90" w:rsidRPr="005F602E" w:rsidRDefault="00F60CAD" w:rsidP="00081E90">
      <w:pPr>
        <w:jc w:val="both"/>
        <w:rPr>
          <w:b/>
        </w:rPr>
      </w:pPr>
      <w:r w:rsidRPr="005F602E">
        <w:rPr>
          <w:b/>
        </w:rPr>
        <w:t>1</w:t>
      </w:r>
      <w:r w:rsidR="00081E90" w:rsidRPr="005F602E">
        <w:rPr>
          <w:b/>
        </w:rPr>
        <w:t xml:space="preserve">. </w:t>
      </w:r>
      <w:r w:rsidRPr="005F602E">
        <w:rPr>
          <w:b/>
        </w:rPr>
        <w:t>Σχεδιασμός κοινών προγραμμάτων σπουδών</w:t>
      </w:r>
    </w:p>
    <w:p w:rsidR="00081E90" w:rsidRPr="005F602E" w:rsidRDefault="00F60CAD" w:rsidP="00081E90">
      <w:pPr>
        <w:jc w:val="both"/>
      </w:pPr>
      <w:r w:rsidRPr="005F602E">
        <w:t xml:space="preserve">Στρατηγικές ακαδημαϊκές συνεργασίες με ιδρύματα και φορείς του εξωτερικού σε επίπεδο μεταπτυχιακών και διδακτορικών σπουδών αλλά και στο χώρο της Δια Βίου Μάθησης. Ο σκοπός είναι η ενδυνάμωση των ακαδημαϊκών προγραμμάτων του Πανεπιστημίου αλλά και η ώσμωση με τις πιο σύγχρονες τάσεις και ακαδημαϊκά αντικείμενα. </w:t>
      </w:r>
    </w:p>
    <w:p w:rsidR="00081E90" w:rsidRPr="005F602E" w:rsidRDefault="00F60CAD" w:rsidP="00081E90">
      <w:pPr>
        <w:jc w:val="both"/>
        <w:rPr>
          <w:b/>
        </w:rPr>
      </w:pPr>
      <w:r w:rsidRPr="005F602E">
        <w:rPr>
          <w:b/>
        </w:rPr>
        <w:t>2</w:t>
      </w:r>
      <w:r w:rsidR="00081E90" w:rsidRPr="005F602E">
        <w:rPr>
          <w:b/>
        </w:rPr>
        <w:t>.  Υπ</w:t>
      </w:r>
      <w:r w:rsidRPr="005F602E">
        <w:rPr>
          <w:b/>
        </w:rPr>
        <w:t xml:space="preserve">οστήριξη και ενίσχυση των ερευνητικών προγραμμάτων </w:t>
      </w:r>
    </w:p>
    <w:p w:rsidR="00081E90" w:rsidRPr="005F602E" w:rsidRDefault="00F60CAD" w:rsidP="00081E90">
      <w:pPr>
        <w:jc w:val="both"/>
      </w:pPr>
      <w:r w:rsidRPr="005F602E">
        <w:t>Το Πανεπιστήμιο Πελοποννήσου συμμετέχει σε πολλά διεθνή ανταγωνιστικά ερευνητικά έργα. Ο σκοπός είναι η συμμετοχή όλων των Σχολών του Πανεπιστημίου στην προσέλκυση παρόμοιων έργων και η αναβάθμιση του ρόλου του Πανεπιστημίου σε ρόλο συντονιστή (</w:t>
      </w:r>
      <w:r w:rsidRPr="005F602E">
        <w:rPr>
          <w:lang w:val="en-US"/>
        </w:rPr>
        <w:t>coordinator</w:t>
      </w:r>
      <w:r w:rsidRPr="005F602E">
        <w:t xml:space="preserve">) σε περισσότερα έργα. </w:t>
      </w:r>
    </w:p>
    <w:p w:rsidR="00F60CAD" w:rsidRPr="005F602E" w:rsidRDefault="00F60CAD" w:rsidP="00F60CAD">
      <w:pPr>
        <w:jc w:val="both"/>
        <w:rPr>
          <w:b/>
        </w:rPr>
      </w:pPr>
      <w:r w:rsidRPr="005F602E">
        <w:rPr>
          <w:b/>
        </w:rPr>
        <w:t>3. Ενίσχυση εκπαιδευτικής κινητικότητας</w:t>
      </w:r>
    </w:p>
    <w:p w:rsidR="00F60CAD" w:rsidRPr="001039D4" w:rsidRDefault="00F60CAD" w:rsidP="00F60CAD">
      <w:pPr>
        <w:jc w:val="both"/>
      </w:pPr>
      <w:r w:rsidRPr="005F602E">
        <w:t>Κινητικότητα φοιτητών και προσωπικού, εντός και εκτός ΕΕ, με στόχο την ανάπτυξη της καινοτομίας, την ενδυνάμωση του τριγώνου της γνώσης και την επαγγελματική ανέλιξη και εκπαιδευτική αριστεία.</w:t>
      </w:r>
      <w:r w:rsidRPr="001039D4">
        <w:t xml:space="preserve"> </w:t>
      </w:r>
    </w:p>
    <w:p w:rsidR="00F60CAD" w:rsidRPr="001039D4" w:rsidRDefault="00F60CAD" w:rsidP="00081E90">
      <w:pPr>
        <w:jc w:val="both"/>
      </w:pPr>
    </w:p>
    <w:p w:rsidR="00081E90" w:rsidRPr="001039D4" w:rsidRDefault="00081E90" w:rsidP="00081E90">
      <w:pPr>
        <w:jc w:val="both"/>
        <w:rPr>
          <w:b/>
        </w:rPr>
      </w:pPr>
      <w:r w:rsidRPr="001039D4">
        <w:rPr>
          <w:b/>
        </w:rPr>
        <w:t>Α) ΕΠΙΛΟΓΗ ΕΤΑΙΡΩΝ</w:t>
      </w:r>
    </w:p>
    <w:p w:rsidR="00081E90" w:rsidRPr="001039D4" w:rsidRDefault="00081E90" w:rsidP="00081E90">
      <w:pPr>
        <w:jc w:val="both"/>
      </w:pPr>
      <w:r w:rsidRPr="001039D4">
        <w:t>Επιδιώκ</w:t>
      </w:r>
      <w:r w:rsidR="00787E2A" w:rsidRPr="001039D4">
        <w:t xml:space="preserve">εται </w:t>
      </w:r>
      <w:r w:rsidRPr="001039D4">
        <w:t>η σύναψη συνεργασιών που προάγουν τον εκσυγχρονισμό της εκπαίδευσης, ενισχύουν την καινοτομία και συνδέουν την ακαδημαϊκή κοινότητα μ</w:t>
      </w:r>
      <w:r w:rsidR="00787E2A" w:rsidRPr="001039D4">
        <w:t xml:space="preserve">ε την αγορά εργασίας. Αξιολογούνται οι </w:t>
      </w:r>
      <w:r w:rsidRPr="001039D4">
        <w:t>κοινο</w:t>
      </w:r>
      <w:r w:rsidR="00787E2A" w:rsidRPr="001039D4">
        <w:t>ί</w:t>
      </w:r>
      <w:r w:rsidRPr="001039D4">
        <w:t xml:space="preserve"> στόχο</w:t>
      </w:r>
      <w:r w:rsidR="00787E2A" w:rsidRPr="001039D4">
        <w:t>ι</w:t>
      </w:r>
      <w:r w:rsidRPr="001039D4">
        <w:t xml:space="preserve"> και τα προσδοκώμενα αποτελέσματα και διασφαλίζ</w:t>
      </w:r>
      <w:r w:rsidR="00787E2A" w:rsidRPr="001039D4">
        <w:t xml:space="preserve">εται η διαρκής και </w:t>
      </w:r>
      <w:r w:rsidRPr="001039D4">
        <w:t xml:space="preserve">ισόρροπη κατανομή μεταξύ των </w:t>
      </w:r>
      <w:proofErr w:type="spellStart"/>
      <w:r w:rsidRPr="001039D4">
        <w:t>συνεργαζομένων</w:t>
      </w:r>
      <w:proofErr w:type="spellEnd"/>
      <w:r w:rsidRPr="001039D4">
        <w:t xml:space="preserve"> εταίρων. Λαμβάν</w:t>
      </w:r>
      <w:r w:rsidR="00787E2A" w:rsidRPr="001039D4">
        <w:t>ονται</w:t>
      </w:r>
      <w:r w:rsidRPr="001039D4">
        <w:t xml:space="preserve"> υπ’ </w:t>
      </w:r>
      <w:proofErr w:type="spellStart"/>
      <w:r w:rsidRPr="001039D4">
        <w:t>όψιν</w:t>
      </w:r>
      <w:proofErr w:type="spellEnd"/>
      <w:r w:rsidR="00787E2A" w:rsidRPr="001039D4">
        <w:t xml:space="preserve"> οι </w:t>
      </w:r>
      <w:r w:rsidRPr="001039D4">
        <w:t xml:space="preserve">θεματικές και γεωγραφικές προτεραιότητες, ώστε να </w:t>
      </w:r>
      <w:r w:rsidR="00787E2A" w:rsidRPr="001039D4">
        <w:t>διασφαλίζεται η επίτευξη ισορροπίας</w:t>
      </w:r>
      <w:r w:rsidRPr="001039D4">
        <w:t xml:space="preserve"> μεταξύ ακαδημαϊκών συμφερόντων και άλλων παραγόντων που επηρεάζουν τις θεσμικές αποφάσεις (π.χ. γεωγραφική ισορροπία και ισορροπία μεταξύ θεμάτων). </w:t>
      </w:r>
    </w:p>
    <w:p w:rsidR="00081E90" w:rsidRPr="001039D4" w:rsidRDefault="00081E90" w:rsidP="00081E90">
      <w:pPr>
        <w:jc w:val="both"/>
        <w:rPr>
          <w:b/>
        </w:rPr>
      </w:pPr>
      <w:r w:rsidRPr="001039D4">
        <w:rPr>
          <w:b/>
        </w:rPr>
        <w:t>Β) ΓΕΩΓΡΑΦΙΚΗ ΚΑΤΑΝΟΜΗ</w:t>
      </w:r>
    </w:p>
    <w:p w:rsidR="00081E90" w:rsidRPr="001039D4" w:rsidRDefault="00081E90" w:rsidP="00081E90">
      <w:pPr>
        <w:jc w:val="both"/>
      </w:pPr>
      <w:r w:rsidRPr="001039D4">
        <w:t xml:space="preserve">Η ΕΕ έχει μακρά παράδοση συνεργασίας με </w:t>
      </w:r>
      <w:r w:rsidR="00E0770F" w:rsidRPr="001039D4">
        <w:t>Τ</w:t>
      </w:r>
      <w:r w:rsidRPr="001039D4">
        <w:t>ρίτες χώρες, η οποία βασίζεται σε σειρά πολιτικών και μέσων στα οποία η τριτοβάθμια εκπαίδευση διαδραματίζει όλο και μεγαλύτερο ρόλο. Στα πλαίσια αυτής της πολιτικής υποστηρίζ</w:t>
      </w:r>
      <w:r w:rsidR="004A3712">
        <w:t xml:space="preserve">εται </w:t>
      </w:r>
      <w:r w:rsidRPr="001039D4">
        <w:t>η συνεργασία με γείτονες χώρες και επιδιώκ</w:t>
      </w:r>
      <w:r w:rsidR="004A3712">
        <w:t>εται</w:t>
      </w:r>
      <w:r w:rsidRPr="001039D4">
        <w:t xml:space="preserve">  το άνοιγμα σε Τρίτες χώρες. </w:t>
      </w:r>
    </w:p>
    <w:p w:rsidR="00D842E9" w:rsidRPr="001039D4" w:rsidRDefault="00D842E9" w:rsidP="00081E90">
      <w:pPr>
        <w:jc w:val="both"/>
        <w:rPr>
          <w:b/>
        </w:rPr>
      </w:pPr>
    </w:p>
    <w:p w:rsidR="00081E90" w:rsidRPr="001039D4" w:rsidRDefault="00081E90" w:rsidP="00081E90">
      <w:pPr>
        <w:jc w:val="both"/>
        <w:rPr>
          <w:b/>
        </w:rPr>
      </w:pPr>
      <w:r w:rsidRPr="001039D4">
        <w:rPr>
          <w:b/>
        </w:rPr>
        <w:t xml:space="preserve">Γ) </w:t>
      </w:r>
      <w:r w:rsidR="00E0770F" w:rsidRPr="001039D4">
        <w:rPr>
          <w:b/>
        </w:rPr>
        <w:t>ΟΜΑΔΕΣ ΣΤΟΧΟΙ</w:t>
      </w:r>
      <w:r w:rsidRPr="001039D4">
        <w:rPr>
          <w:b/>
        </w:rPr>
        <w:t xml:space="preserve"> </w:t>
      </w:r>
    </w:p>
    <w:p w:rsidR="00081E90" w:rsidRPr="001039D4" w:rsidRDefault="00081E90" w:rsidP="00081E90">
      <w:pPr>
        <w:jc w:val="both"/>
      </w:pPr>
      <w:r w:rsidRPr="001039D4">
        <w:t>Σημείο – κλειδί για τη στρ</w:t>
      </w:r>
      <w:r w:rsidR="00AF3E49">
        <w:t xml:space="preserve">ατηγική διεθνοποίησης αποτελεί </w:t>
      </w:r>
      <w:r w:rsidRPr="001039D4">
        <w:t>η συμμετοχή φοιτητών και προσωπικού σε ευρωπαϊκά και διεθνή σχέδια συνεργασίας</w:t>
      </w:r>
      <w:r w:rsidR="00B16C20">
        <w:t>,</w:t>
      </w:r>
      <w:r w:rsidRPr="001039D4">
        <w:t xml:space="preserve"> καθώς μέσω αυτής αναπτύσσονται οι επαγγελματικές δεξιότητες και οι κοινωνικές και διαπολιτισμικές σχέσεις. Στόχος μας είναι η ανάπτυξη νέων συνεργασιών και δικτύων συνεργασίας, με εταίρους εντός και εκτός ΕΕ.</w:t>
      </w:r>
    </w:p>
    <w:p w:rsidR="00081E90" w:rsidRPr="001039D4" w:rsidRDefault="00081E90" w:rsidP="00081E90">
      <w:pPr>
        <w:jc w:val="both"/>
      </w:pPr>
      <w:r w:rsidRPr="001039D4">
        <w:t>Επιδιώκουμε τη</w:t>
      </w:r>
      <w:r w:rsidR="00B16C20">
        <w:t>ν</w:t>
      </w:r>
      <w:r w:rsidRPr="001039D4">
        <w:t xml:space="preserve"> ανανέωση και διεύρυνση των συνεργασιών μας με Ιδρύματα τριτοβάθμιας εκπαίδευσης, ερευνητικά ιδρύματα και επιχειρήσεις, με σκοπό την ενδυνάμωση του τριγώνου της γνώσης</w:t>
      </w:r>
      <w:r w:rsidR="001224E6" w:rsidRPr="001039D4">
        <w:t>,</w:t>
      </w:r>
      <w:r w:rsidRPr="001039D4">
        <w:t xml:space="preserve"> ως βάσης για μια πιο καινοτόμο και δημιουργική οικονομία και την ενίσχυση της ευρωπαϊκής ανταγωνιστικότητας συμβάλλοντας στην οικοδόμηση μιας κοινωνίας με εντατική χρησιμοποίηση της γνώσης.</w:t>
      </w:r>
    </w:p>
    <w:p w:rsidR="00081E90" w:rsidRPr="001039D4" w:rsidRDefault="00081E90" w:rsidP="00081E90">
      <w:pPr>
        <w:jc w:val="both"/>
      </w:pPr>
      <w:r w:rsidRPr="001039D4">
        <w:t xml:space="preserve">Για την επίτευξη των στόχων της διεθνούς στρατηγικής, το Πανεπιστήμιο Πελοποννήσου έχει οργανώσει την εσωτερική λειτουργία του έτσι ώστε : </w:t>
      </w:r>
    </w:p>
    <w:p w:rsidR="00081E90" w:rsidRPr="001039D4" w:rsidRDefault="00081E90" w:rsidP="00081E90">
      <w:pPr>
        <w:jc w:val="both"/>
      </w:pPr>
      <w:r w:rsidRPr="001039D4">
        <w:t xml:space="preserve">- να διασφαλίζει τη διαφάνεια, συνοχή και αξιοκρατία </w:t>
      </w:r>
    </w:p>
    <w:p w:rsidR="00081E90" w:rsidRPr="001039D4" w:rsidRDefault="00081E90" w:rsidP="00081E90">
      <w:pPr>
        <w:jc w:val="both"/>
      </w:pPr>
      <w:r w:rsidRPr="001039D4">
        <w:t xml:space="preserve">- να παρέχει διαρκή ενημέρωση και </w:t>
      </w:r>
      <w:r w:rsidR="00DE3094" w:rsidRPr="001039D4">
        <w:t>να</w:t>
      </w:r>
      <w:r w:rsidRPr="001039D4">
        <w:t xml:space="preserve"> δημοσιοποιεί τις δυνατότητες που προσφέρουν τα προγράμματα συνεργασίας</w:t>
      </w:r>
    </w:p>
    <w:p w:rsidR="00081E90" w:rsidRPr="001039D4" w:rsidRDefault="00081E90" w:rsidP="00081E90">
      <w:pPr>
        <w:jc w:val="both"/>
      </w:pPr>
      <w:r w:rsidRPr="001039D4">
        <w:t>- να υποστηρίζει τους συμμετέχοντες σε όλα τα στάδια της μετακίνησης (έγκαιρη υπογραφή συμφωνιών σπουδών/πρακτικής,</w:t>
      </w:r>
      <w:r w:rsidR="00D842E9" w:rsidRPr="001039D4">
        <w:t xml:space="preserve"> σχεδίων εργασίας/διδασκαλίας, </w:t>
      </w:r>
      <w:r w:rsidRPr="001039D4">
        <w:t xml:space="preserve">ενημέρωση για θέματα ασφάλισης, </w:t>
      </w:r>
      <w:proofErr w:type="spellStart"/>
      <w:r w:rsidRPr="001039D4">
        <w:t>visa</w:t>
      </w:r>
      <w:proofErr w:type="spellEnd"/>
      <w:r w:rsidRPr="001039D4">
        <w:t xml:space="preserve"> κ.λπ</w:t>
      </w:r>
      <w:r w:rsidR="001224E6" w:rsidRPr="001039D4">
        <w:t>.</w:t>
      </w:r>
      <w:r w:rsidRPr="001039D4">
        <w:t>)</w:t>
      </w:r>
    </w:p>
    <w:p w:rsidR="006E5A0D" w:rsidRPr="001039D4" w:rsidRDefault="00081E90" w:rsidP="00081E90">
      <w:pPr>
        <w:jc w:val="both"/>
        <w:rPr>
          <w:i/>
        </w:rPr>
      </w:pPr>
      <w:r w:rsidRPr="001039D4">
        <w:t xml:space="preserve">- να σέβεται και εφαρμόζει πλήρως το άρθρο 21 </w:t>
      </w:r>
      <w:r w:rsidR="006E5A0D" w:rsidRPr="001039D4">
        <w:t>του Χάρτη Θεμελιωδών Δικαιωμάτων της ΕΕ</w:t>
      </w:r>
      <w:r w:rsidRPr="001039D4">
        <w:t xml:space="preserve">, σύμφωνα με το </w:t>
      </w:r>
      <w:r w:rsidR="006E5A0D" w:rsidRPr="001039D4">
        <w:t xml:space="preserve">οποίο: </w:t>
      </w:r>
      <w:r w:rsidR="006E5A0D" w:rsidRPr="001039D4">
        <w:rPr>
          <w:i/>
        </w:rPr>
        <w:t xml:space="preserve">«Απαγορεύεται κάθε διάκριση ιδίως λόγω φύλου, φυλής, χρώματος, </w:t>
      </w:r>
      <w:proofErr w:type="spellStart"/>
      <w:r w:rsidR="006E5A0D" w:rsidRPr="001039D4">
        <w:rPr>
          <w:i/>
        </w:rPr>
        <w:t>εθνοτικής</w:t>
      </w:r>
      <w:proofErr w:type="spellEnd"/>
      <w:r w:rsidR="006E5A0D" w:rsidRPr="001039D4">
        <w:rPr>
          <w:i/>
        </w:rPr>
        <w:t xml:space="preserve"> καταγωγής ή κοινωνικής προέλευσης, γενετικών χαρακτηριστικών, γλώσσας, θρησκείας ή πεποιθήσεων, πολιτικών φρονημάτων ή κάθε άλλης γνώμης, ιδιότητας μέλους εθνικής μειονότητας, περιουσίας, γέννησης, αναπηρίας ηλικίας ή γενετήσιου προσανατολισμού»</w:t>
      </w:r>
    </w:p>
    <w:p w:rsidR="00081E90" w:rsidRPr="001039D4" w:rsidRDefault="00081E90" w:rsidP="00081E90">
      <w:pPr>
        <w:jc w:val="both"/>
      </w:pPr>
      <w:r w:rsidRPr="001039D4">
        <w:t>- να υποστηρίζει τη συμμετοχή ατόμων προερχομένων από κοινωνικά ευπαθείς ομάδες και ατόμων με αναπηρίες</w:t>
      </w:r>
    </w:p>
    <w:p w:rsidR="00081E90" w:rsidRPr="001039D4" w:rsidRDefault="00081E90" w:rsidP="00081E90">
      <w:pPr>
        <w:jc w:val="both"/>
      </w:pPr>
      <w:r w:rsidRPr="001039D4">
        <w:t>- να μεριμνά για τη διασφάλιση της επιτυχίας των στόχων της μετακίνησης δίνοντας ιδιαίτερη σημασία α) στη γλωσσική επάρκεια των μετακινουμένων β) στην ομαλή ένταξή τους στην νέα ακαδημαϊκή και κοινωνική ζωή γ) στη διαρκή επικοινωνία και επίβλεψη των μετακινουμένων για σπουδές/πρακτική άσκηση</w:t>
      </w:r>
    </w:p>
    <w:p w:rsidR="00081E90" w:rsidRPr="001039D4" w:rsidRDefault="00081E90" w:rsidP="00081E90">
      <w:pPr>
        <w:jc w:val="both"/>
      </w:pPr>
      <w:r w:rsidRPr="001039D4">
        <w:t>-  να αναγνωρίζει και αξιοποιεί τα αποτελέσματα της συμμετοχής στην κινητικότητα φοιτητών μέσω της εφαρμογής Ε</w:t>
      </w:r>
      <w:r w:rsidRPr="001039D4">
        <w:rPr>
          <w:lang w:val="en-US"/>
        </w:rPr>
        <w:t>CTS</w:t>
      </w:r>
      <w:r w:rsidRPr="001039D4">
        <w:t xml:space="preserve">  και να απονέμει το Παράρτημα Διπλώματος  </w:t>
      </w:r>
    </w:p>
    <w:p w:rsidR="00081E90" w:rsidRPr="001039D4" w:rsidRDefault="00081E90" w:rsidP="00081E90">
      <w:pPr>
        <w:jc w:val="both"/>
      </w:pPr>
      <w:r w:rsidRPr="001039D4">
        <w:lastRenderedPageBreak/>
        <w:t>- να αναγνωρίζει και αξιοποιεί τα αποτελέσματα της κινητικότητας προσωπικού με στόχο την επαγγελματική ανέλιξη και διδακτική αριστεία</w:t>
      </w:r>
    </w:p>
    <w:p w:rsidR="00081E90" w:rsidRPr="001039D4" w:rsidRDefault="00081E90" w:rsidP="00081E90">
      <w:pPr>
        <w:jc w:val="both"/>
      </w:pPr>
      <w:r w:rsidRPr="001039D4">
        <w:t xml:space="preserve">- </w:t>
      </w:r>
      <w:r w:rsidR="001224E6" w:rsidRPr="001039D4">
        <w:t>να διασφαλίζει τη</w:t>
      </w:r>
      <w:r w:rsidRPr="001039D4">
        <w:t xml:space="preserve"> μη </w:t>
      </w:r>
      <w:r w:rsidR="00C411DB" w:rsidRPr="001039D4">
        <w:t xml:space="preserve">επιβολή διδάκτρων σε περίπτωση κινητικότητας φοιτητών μέσω του Προγράμματος </w:t>
      </w:r>
      <w:r w:rsidR="00C411DB" w:rsidRPr="001039D4">
        <w:rPr>
          <w:lang w:val="en-US"/>
        </w:rPr>
        <w:t>Erasmus</w:t>
      </w:r>
      <w:r w:rsidR="00C411DB" w:rsidRPr="001039D4">
        <w:t xml:space="preserve"> και να διευκολύνει την πρόσβαση όλων των εισερχομένων φοιτητών </w:t>
      </w:r>
      <w:r w:rsidRPr="001039D4">
        <w:t>σε εργαστήρια, βιβλιοθήκ</w:t>
      </w:r>
      <w:r w:rsidR="00C411DB" w:rsidRPr="001039D4">
        <w:t>ες και άλλες εγκαταστάσεις, διασφαλίζοντας την ίση μεταχείριση μεταξύ εισερχομένων και τακτικών φοιτητών του Ιδρύματος.</w:t>
      </w:r>
    </w:p>
    <w:p w:rsidR="00081E90" w:rsidRPr="001039D4" w:rsidRDefault="006D3E3B" w:rsidP="00081E90">
      <w:pPr>
        <w:jc w:val="both"/>
      </w:pPr>
      <w:r w:rsidRPr="001039D4">
        <w:t xml:space="preserve">Ευρύτερος στόχος του Ιδρύματός μας είναι οι </w:t>
      </w:r>
      <w:r w:rsidR="00081E90" w:rsidRPr="001039D4">
        <w:t xml:space="preserve">δράσεις μας </w:t>
      </w:r>
      <w:r w:rsidR="00D842E9" w:rsidRPr="001039D4">
        <w:t xml:space="preserve">να </w:t>
      </w:r>
      <w:r w:rsidR="00081E90" w:rsidRPr="001039D4">
        <w:t xml:space="preserve">συμβάλουν στην εξασφάλιση των συνθηκών που θα οδηγήσουν στην πλήρη αξιοποίηση του πνευματικού κεφαλαίου της Ευρώπης προκειμένου να εξασφαλιστεί μακρόχρονη ανταγωνιστικότητα και ανάπτυξη. </w:t>
      </w:r>
    </w:p>
    <w:p w:rsidR="00EE5E86" w:rsidRPr="001039D4" w:rsidRDefault="00EE5E86" w:rsidP="00EE5E86">
      <w:pPr>
        <w:tabs>
          <w:tab w:val="left" w:pos="7155"/>
        </w:tabs>
        <w:jc w:val="both"/>
      </w:pPr>
      <w:r w:rsidRPr="001039D4">
        <w:rPr>
          <w:b/>
          <w:noProof/>
          <w:color w:val="FF0000"/>
          <w:lang w:eastAsia="el-GR"/>
        </w:rPr>
        <mc:AlternateContent>
          <mc:Choice Requires="wps">
            <w:drawing>
              <wp:anchor distT="0" distB="0" distL="114300" distR="114300" simplePos="0" relativeHeight="251661312" behindDoc="1" locked="0" layoutInCell="1" allowOverlap="1" wp14:anchorId="09C58B28" wp14:editId="7A783799">
                <wp:simplePos x="0" y="0"/>
                <wp:positionH relativeFrom="column">
                  <wp:posOffset>0</wp:posOffset>
                </wp:positionH>
                <wp:positionV relativeFrom="paragraph">
                  <wp:posOffset>238125</wp:posOffset>
                </wp:positionV>
                <wp:extent cx="5457825" cy="323850"/>
                <wp:effectExtent l="0" t="0" r="28575" b="19050"/>
                <wp:wrapNone/>
                <wp:docPr id="4" name="Ορθογώνιο 4"/>
                <wp:cNvGraphicFramePr/>
                <a:graphic xmlns:a="http://schemas.openxmlformats.org/drawingml/2006/main">
                  <a:graphicData uri="http://schemas.microsoft.com/office/word/2010/wordprocessingShape">
                    <wps:wsp>
                      <wps:cNvSpPr/>
                      <wps:spPr>
                        <a:xfrm>
                          <a:off x="0" y="0"/>
                          <a:ext cx="54578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042DD" id="Ορθογώνιο 4" o:spid="_x0000_s1026" style="position:absolute;margin-left:0;margin-top:18.75pt;width:429.75pt;height:2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AjkAIAAEIFAAAOAAAAZHJzL2Uyb0RvYy54bWysVMFOGzEQvVfqP1i+l01C0tKIDYpAVJUQ&#10;oELF2Xjt7Eq2x7WdbNJbf6C/wEf00h4q/mD5pY69myUC1EPVHByPZ+aN5+0bHx6ttSIr4XwFJqfD&#10;vQElwnAoKrPI6efr0zcHlPjATMEUGJHTjfD0aPb61WFtp2IEJahCOIIgxk9rm9MyBDvNMs9LoZnf&#10;AysMOiU4zQKabpEVjtWIrlU2GgzeZjW4wjrgwns8PWmddJbwpRQ8XEjpRSAqp3i3kFaX1tu4ZrND&#10;Nl04ZsuKd9dg/3ALzSqDRXuoExYYWbrqGZSuuAMPMuxx0BlIWXGResBuhoMn3VyVzIrUC5LjbU+T&#10;/3+w/Hx16UhV5HRMiWEaP1Fz9/Ct+dncNz8evje/m1/NPRlHnmrrpxh+ZS9dZ3ncxqbX0un4j+2Q&#10;deJ203Mr1oFwPJyMJ+8ORhNKOPr2R/sHk0R+9phtnQ8fBGgSNzl1+O0SpWx15gNWxNBtCBrxNm39&#10;tAsbJeIVlPkkJPaDFUcpOylJHCtHVgw1wDgXJgxbV8kK0R5PBviLTWKRPiNZCTAiy0qpHrsDiCp9&#10;jt3CdPExVSQh9smDv12sTe4zUmUwoU/WlQH3EoDCrrrKbfyWpJaayNItFBv82g7aMfCWn1bI9Rnz&#10;4ZI51D1OCM5yuMBFKqhzCt2OkhLc15fOYzzKEb2U1DhHOfVflswJStRHg0J9PxyP4+AlAzUwQsPt&#10;em53PWapjwE/0xBfDcvTNsYHtd1KB/oGR34eq6KLGY61c8qD2xrHoZ1vfDS4mM9TGA6bZeHMXFke&#10;wSOrUUvX6xvmbCe4gFI9h+3MsekT3bWxMdPAfBlAVkmUj7x2fOOgJuF0j0p8CXbtFPX49M3+AAAA&#10;//8DAFBLAwQUAAYACAAAACEAvM1rjNoAAAAGAQAADwAAAGRycy9kb3ducmV2LnhtbEyPzU7DMBCE&#10;70i8g7VI3KhTUGga4lSoEhckDi08wDbexqH+iWKnSd6e5QS3Wc1q5ptqNzsrrjTELngF61UGgnwT&#10;dOdbBV+fbw8FiJjQa7TBk4KFIuzq25sKSx0mf6DrMbWCQ3wsUYFJqS+ljI0hh3EVevLsncPgMPE5&#10;tFIPOHG4s/Ixy56lw85zg8Ge9oaay3F0XIJ0WNabaX/5MPN7R3b5pnFR6v5ufn0BkWhOf8/wi8/o&#10;UDPTKYxeR2EV8JCk4GmTg2C3yLcsTiyKHGRdyf/49Q8AAAD//wMAUEsBAi0AFAAGAAgAAAAhALaD&#10;OJL+AAAA4QEAABMAAAAAAAAAAAAAAAAAAAAAAFtDb250ZW50X1R5cGVzXS54bWxQSwECLQAUAAYA&#10;CAAAACEAOP0h/9YAAACUAQAACwAAAAAAAAAAAAAAAAAvAQAAX3JlbHMvLnJlbHNQSwECLQAUAAYA&#10;CAAAACEArIxAI5ACAABCBQAADgAAAAAAAAAAAAAAAAAuAgAAZHJzL2Uyb0RvYy54bWxQSwECLQAU&#10;AAYACAAAACEAvM1rjNoAAAAGAQAADwAAAAAAAAAAAAAAAADqBAAAZHJzL2Rvd25yZXYueG1sUEsF&#10;BgAAAAAEAAQA8wAAAPEFAAAAAA==&#10;" fillcolor="#5b9bd5 [3204]" strokecolor="#1f4d78 [1604]" strokeweight="1pt"/>
            </w:pict>
          </mc:Fallback>
        </mc:AlternateContent>
      </w:r>
      <w:r w:rsidRPr="001039D4">
        <w:tab/>
      </w:r>
    </w:p>
    <w:p w:rsidR="00EE5E86" w:rsidRPr="001039D4" w:rsidRDefault="00EE5E86" w:rsidP="00EE5E86">
      <w:pPr>
        <w:tabs>
          <w:tab w:val="center" w:pos="4153"/>
          <w:tab w:val="left" w:pos="7185"/>
        </w:tabs>
        <w:autoSpaceDE w:val="0"/>
        <w:autoSpaceDN w:val="0"/>
        <w:adjustRightInd w:val="0"/>
        <w:spacing w:after="0" w:line="240" w:lineRule="auto"/>
        <w:rPr>
          <w:rFonts w:cs="ArialMT"/>
          <w:b/>
        </w:rPr>
      </w:pPr>
      <w:r w:rsidRPr="001039D4">
        <w:rPr>
          <w:rFonts w:cs="ArialMT"/>
          <w:b/>
        </w:rPr>
        <w:tab/>
        <w:t xml:space="preserve">OΡΓΑΝΩΣΗ ΚΙΝΗΤΙΚΟΤΗΤΑΣ </w:t>
      </w:r>
      <w:r w:rsidR="00614C14" w:rsidRPr="001039D4">
        <w:rPr>
          <w:rFonts w:cs="ArialMT"/>
          <w:b/>
        </w:rPr>
        <w:t xml:space="preserve">ΦΟΙΤΗΤΩΝ </w:t>
      </w:r>
      <w:r w:rsidR="007D12C0" w:rsidRPr="001039D4">
        <w:rPr>
          <w:rFonts w:cs="ArialMT"/>
          <w:b/>
        </w:rPr>
        <w:t>ΓΙΑ ΣΠΟΥΔΕΣ</w:t>
      </w:r>
      <w:r w:rsidR="00515816" w:rsidRPr="001039D4">
        <w:rPr>
          <w:rFonts w:cs="ArialMT"/>
          <w:b/>
        </w:rPr>
        <w:t xml:space="preserve"> &amp; ΠΡΑΚΤΙΚΗ ΆΣΚΗΣΗ</w:t>
      </w:r>
      <w:r w:rsidRPr="001039D4">
        <w:rPr>
          <w:rFonts w:cs="ArialMT"/>
          <w:b/>
        </w:rPr>
        <w:tab/>
      </w:r>
    </w:p>
    <w:p w:rsidR="00EE5E86" w:rsidRPr="001039D4" w:rsidRDefault="00614C14" w:rsidP="00614C14">
      <w:pPr>
        <w:tabs>
          <w:tab w:val="left" w:pos="2250"/>
        </w:tabs>
        <w:autoSpaceDE w:val="0"/>
        <w:autoSpaceDN w:val="0"/>
        <w:adjustRightInd w:val="0"/>
        <w:spacing w:after="0" w:line="240" w:lineRule="auto"/>
        <w:rPr>
          <w:rFonts w:cs="ArialMT"/>
        </w:rPr>
      </w:pPr>
      <w:r w:rsidRPr="001039D4">
        <w:rPr>
          <w:rFonts w:cs="ArialMT"/>
        </w:rPr>
        <w:tab/>
      </w:r>
    </w:p>
    <w:p w:rsidR="00EE5E86" w:rsidRPr="001039D4" w:rsidRDefault="00EE5E86" w:rsidP="00EE5E86">
      <w:pPr>
        <w:autoSpaceDE w:val="0"/>
        <w:autoSpaceDN w:val="0"/>
        <w:adjustRightInd w:val="0"/>
        <w:spacing w:after="0" w:line="240" w:lineRule="auto"/>
        <w:jc w:val="both"/>
        <w:rPr>
          <w:rFonts w:cs="ArialMT"/>
        </w:rPr>
      </w:pPr>
      <w:r w:rsidRPr="001039D4">
        <w:rPr>
          <w:rFonts w:cs="ArialMT"/>
        </w:rPr>
        <w:t>H εφαρμογή του Σχεδίου κινείται σε τρεις άξονες: α) κινητικότητα φοιτητών για σπουδές και πρακτική άσκηση β) κινητικότητα προσωπικού για διδασκαλία και επιμόρφωση και γ) ανάπτυξη δράσεων με στόχο την ποιοτική αναβάθμιση του Προγράμματος και την περαιτέρω ανάπτυξη συνεργειών. Ειδικά για τους άξονες α) κινητικότητα φοιτητών και β) κινητικότητα προσωπικού επισημαίνεται ότι λειτουργεί ως παράλληλη δράση η εισερχόμενη κινητικότητα.</w:t>
      </w:r>
    </w:p>
    <w:p w:rsidR="00EE5E86" w:rsidRPr="001039D4" w:rsidRDefault="00EE5E86" w:rsidP="00EE5E86">
      <w:pPr>
        <w:autoSpaceDE w:val="0"/>
        <w:autoSpaceDN w:val="0"/>
        <w:adjustRightInd w:val="0"/>
        <w:spacing w:after="0" w:line="240" w:lineRule="auto"/>
        <w:rPr>
          <w:rFonts w:cs="ArialMT"/>
        </w:rPr>
      </w:pPr>
    </w:p>
    <w:p w:rsidR="00EE5E86" w:rsidRPr="001039D4" w:rsidRDefault="00EE5E86" w:rsidP="009771B4">
      <w:pPr>
        <w:autoSpaceDE w:val="0"/>
        <w:autoSpaceDN w:val="0"/>
        <w:adjustRightInd w:val="0"/>
        <w:spacing w:after="0" w:line="240" w:lineRule="auto"/>
        <w:jc w:val="both"/>
        <w:rPr>
          <w:rFonts w:cs="ArialMT"/>
          <w:b/>
        </w:rPr>
      </w:pPr>
      <w:r w:rsidRPr="001039D4">
        <w:rPr>
          <w:rFonts w:cs="ArialMT"/>
          <w:b/>
        </w:rPr>
        <w:t>ΚΙΝΗΤΙΚΟΤΗΤΑ ΦΟΙΤΗΤΩΝ</w:t>
      </w:r>
    </w:p>
    <w:p w:rsidR="00F93D7D" w:rsidRPr="001039D4" w:rsidRDefault="00EE5E86" w:rsidP="009771B4">
      <w:pPr>
        <w:autoSpaceDE w:val="0"/>
        <w:autoSpaceDN w:val="0"/>
        <w:adjustRightInd w:val="0"/>
        <w:spacing w:after="0" w:line="240" w:lineRule="auto"/>
        <w:jc w:val="both"/>
        <w:rPr>
          <w:rFonts w:cs="ArialMT"/>
        </w:rPr>
      </w:pPr>
      <w:r w:rsidRPr="001039D4">
        <w:rPr>
          <w:rFonts w:cs="ArialMT"/>
        </w:rPr>
        <w:t xml:space="preserve">Το Πανεπιστήμιο Πελοποννήσου έχει οργανώσει την εσωτερική λειτουργία </w:t>
      </w:r>
      <w:r w:rsidR="009771B4" w:rsidRPr="001039D4">
        <w:rPr>
          <w:rFonts w:cs="ArialMT"/>
        </w:rPr>
        <w:t xml:space="preserve">κινητικότητας </w:t>
      </w:r>
      <w:r w:rsidRPr="001039D4">
        <w:rPr>
          <w:rFonts w:cs="ArialMT"/>
        </w:rPr>
        <w:t xml:space="preserve">με διαφάνεια, αξιοκρατία και συνοχή ώστε να διασφαλίζεται η ποιότητα της μετακίνησης. </w:t>
      </w:r>
    </w:p>
    <w:p w:rsidR="00F93D7D" w:rsidRPr="001039D4" w:rsidRDefault="00F93D7D" w:rsidP="009771B4">
      <w:pPr>
        <w:autoSpaceDE w:val="0"/>
        <w:autoSpaceDN w:val="0"/>
        <w:adjustRightInd w:val="0"/>
        <w:spacing w:after="0" w:line="240" w:lineRule="auto"/>
        <w:jc w:val="both"/>
        <w:rPr>
          <w:rFonts w:cs="ArialMT"/>
        </w:rPr>
      </w:pPr>
    </w:p>
    <w:p w:rsidR="00EE5E86" w:rsidRPr="001039D4" w:rsidRDefault="00EE5E86" w:rsidP="009771B4">
      <w:pPr>
        <w:autoSpaceDE w:val="0"/>
        <w:autoSpaceDN w:val="0"/>
        <w:adjustRightInd w:val="0"/>
        <w:spacing w:after="0" w:line="240" w:lineRule="auto"/>
        <w:jc w:val="both"/>
        <w:rPr>
          <w:rFonts w:cs="ArialMT"/>
        </w:rPr>
      </w:pPr>
      <w:r w:rsidRPr="001039D4">
        <w:rPr>
          <w:rFonts w:cs="ArialMT"/>
        </w:rPr>
        <w:t xml:space="preserve">Η συνεργασία του Γραφείου Erasmus με τους Ακαδημαϊκούς Συντονιστές των Τμημάτων είναι συνεχής και η συμβολή τους καθοριστική. Παρέχεται ατομική συμβουλευτική και οργανώνονται ενημερωτικές συναντήσεις με στόχο την προώθηση του Προγράμματος, ενώ ιδιαίτερη έμφαση δίνεται α) στο θέμα της δημοσιοποίησης -μέσω της ιστοσελίδας και της αποστολής ενημερωτικών μηνυμάτων- των δυνατοτήτων που προσφέρονται β) στην έγκαιρη υπογραφή των αναγκαίων για τη μετακίνηση εγγράφων β) στη γλωσσική επάρκεια των μετακινουμένων δ) στην τήρηση των όρων των Διαπανεπιστημιακών Συμφωνιών. </w:t>
      </w:r>
    </w:p>
    <w:p w:rsidR="00F93D7D" w:rsidRPr="001039D4" w:rsidRDefault="00F93D7D" w:rsidP="009771B4">
      <w:pPr>
        <w:autoSpaceDE w:val="0"/>
        <w:autoSpaceDN w:val="0"/>
        <w:adjustRightInd w:val="0"/>
        <w:spacing w:after="0" w:line="240" w:lineRule="auto"/>
        <w:jc w:val="both"/>
        <w:rPr>
          <w:rFonts w:cs="ArialMT"/>
        </w:rPr>
      </w:pPr>
    </w:p>
    <w:p w:rsidR="00EE5E86" w:rsidRPr="001039D4" w:rsidRDefault="00EE5E86" w:rsidP="009771B4">
      <w:pPr>
        <w:autoSpaceDE w:val="0"/>
        <w:autoSpaceDN w:val="0"/>
        <w:adjustRightInd w:val="0"/>
        <w:spacing w:after="0" w:line="240" w:lineRule="auto"/>
        <w:jc w:val="both"/>
        <w:rPr>
          <w:rFonts w:cs="ArialMT"/>
        </w:rPr>
      </w:pPr>
      <w:r w:rsidRPr="001039D4">
        <w:rPr>
          <w:rFonts w:cs="ArialMT"/>
        </w:rPr>
        <w:t xml:space="preserve">Οι ενδιαφερόμενοι καλούνται να υποβάλουν αίτηση μετά τη δημοσίευση σχετικής ανακοίνωσης και η επιλογή γίνεται βάσει κριτηρίων αξιολόγησης τα οποία έχουν δημοσιοποιηθεί στην ιστοσελίδα του Ιδρύματος. </w:t>
      </w:r>
    </w:p>
    <w:p w:rsidR="009771B4" w:rsidRPr="001039D4" w:rsidRDefault="009771B4" w:rsidP="009771B4">
      <w:pPr>
        <w:autoSpaceDE w:val="0"/>
        <w:autoSpaceDN w:val="0"/>
        <w:adjustRightInd w:val="0"/>
        <w:spacing w:after="0" w:line="240" w:lineRule="auto"/>
        <w:jc w:val="both"/>
        <w:rPr>
          <w:rFonts w:cs="ArialMT"/>
        </w:rPr>
      </w:pPr>
    </w:p>
    <w:p w:rsidR="009771B4" w:rsidRPr="001039D4" w:rsidRDefault="009771B4" w:rsidP="009771B4">
      <w:pPr>
        <w:rPr>
          <w:b/>
        </w:rPr>
      </w:pPr>
      <w:r w:rsidRPr="001039D4">
        <w:rPr>
          <w:b/>
        </w:rPr>
        <w:t>ΑΝΑΛΥΤΙΚΗ ΠΕΡΙΓΡΑΦΗ ΔΙ</w:t>
      </w:r>
      <w:r w:rsidR="00614C14" w:rsidRPr="001039D4">
        <w:rPr>
          <w:b/>
        </w:rPr>
        <w:t>ΑΔΙΚΑΣΙΑΣ ΚΙΝΗΤΙΚΟΤΗΤΑΣ ΦΟΙΤΗΤΩΝ</w:t>
      </w:r>
    </w:p>
    <w:p w:rsidR="009771B4" w:rsidRPr="001039D4" w:rsidRDefault="009771B4" w:rsidP="00F93D7D">
      <w:pPr>
        <w:autoSpaceDE w:val="0"/>
        <w:autoSpaceDN w:val="0"/>
        <w:adjustRightInd w:val="0"/>
        <w:spacing w:after="0" w:line="240" w:lineRule="auto"/>
        <w:jc w:val="both"/>
        <w:rPr>
          <w:rFonts w:cs="ArialMT"/>
        </w:rPr>
      </w:pPr>
      <w:r w:rsidRPr="001039D4">
        <w:rPr>
          <w:rFonts w:cs="ArialMT"/>
        </w:rPr>
        <w:t xml:space="preserve">Οι προσκλήσεις εκδήλωσης ενδιαφέροντος για την κινητικότητα φοιτητών (σπουδές και πρακτική άσκηση) ανακοινώνονται δύο φορές τον χρόνο: Σεπτέμβριο, για μετακινήσεις Εαρινού Εξαμήνου και </w:t>
      </w:r>
      <w:r w:rsidR="00597CBD" w:rsidRPr="001039D4">
        <w:rPr>
          <w:rFonts w:cs="ArialMT"/>
        </w:rPr>
        <w:t>Φεβρουάριο,</w:t>
      </w:r>
      <w:r w:rsidRPr="001039D4">
        <w:rPr>
          <w:rFonts w:cs="ArialMT"/>
        </w:rPr>
        <w:t xml:space="preserve"> για μετακινήσεις Χειμερινού Εξαμήνου. Η διαδικασία επιλογής ανακοινώνεται στην ιστοσελίδα του Προγράμματος και αναγράφεται στην Ανακοίνωση. Οι αιτήσεις </w:t>
      </w:r>
      <w:proofErr w:type="spellStart"/>
      <w:r w:rsidRPr="001039D4">
        <w:rPr>
          <w:rFonts w:cs="ArialMT"/>
        </w:rPr>
        <w:t>πρωτοκολλούνται</w:t>
      </w:r>
      <w:proofErr w:type="spellEnd"/>
      <w:r w:rsidRPr="001039D4">
        <w:rPr>
          <w:rFonts w:cs="ArialMT"/>
        </w:rPr>
        <w:t xml:space="preserve"> από το Γραφείο Erasmus, διαχωρίζονται ανά Τμήμα και καταγράφονται. Αποστέλλονται στους Τμηματικούς Συντονιστές Erasmus οι οποίοι </w:t>
      </w:r>
      <w:r w:rsidRPr="001039D4">
        <w:rPr>
          <w:rFonts w:cs="ArialMT"/>
        </w:rPr>
        <w:lastRenderedPageBreak/>
        <w:t>βάσει των κριτηρίων επιλογής τα οποία έχουν αναρτηθεί στην ιστοσελίδα του Προγράμματος αξιολογούν τις αιτήσεις και συμπληρώνουν σε ειδικό έντυπο: α) πίνακα επιλεγέντων φοιτητών (αξιολογική σειρά) και β) πίνακα επιλαχόντων φοιτητών (αξιολογική σειρά). Οι αιτήσεις οι οποίες απορρίπτονται καταγράφονται στο ειδικό έντυπο με σαφή αναφορά στον λόγο απόρριψης. Οι αιτήσεις τηρούνται στο αρχείο για 5 έτη. Η ανακοίνωση των αποτελεσμάτων γίνεται από το Γραφείο Erasmus μέσω: α) αποστολής ηλεκτρονικού</w:t>
      </w:r>
      <w:r w:rsidR="00F93D7D" w:rsidRPr="001039D4">
        <w:rPr>
          <w:rFonts w:cs="ArialMT"/>
        </w:rPr>
        <w:t xml:space="preserve"> </w:t>
      </w:r>
      <w:r w:rsidRPr="001039D4">
        <w:rPr>
          <w:rFonts w:cs="ArialMT"/>
        </w:rPr>
        <w:t>μηνύματος στου</w:t>
      </w:r>
      <w:r w:rsidR="00B16C20">
        <w:rPr>
          <w:rFonts w:cs="ArialMT"/>
        </w:rPr>
        <w:t>ς</w:t>
      </w:r>
      <w:r w:rsidRPr="001039D4">
        <w:rPr>
          <w:rFonts w:cs="ArialMT"/>
        </w:rPr>
        <w:t xml:space="preserve"> αιτούντες </w:t>
      </w:r>
      <w:r w:rsidR="004D6DFB" w:rsidRPr="001039D4">
        <w:rPr>
          <w:rFonts w:cs="ArialMT"/>
        </w:rPr>
        <w:t xml:space="preserve">και β) </w:t>
      </w:r>
      <w:r w:rsidRPr="001039D4">
        <w:rPr>
          <w:rFonts w:cs="ArialMT"/>
        </w:rPr>
        <w:t>ανάρτησης των αποτελεσμάτων στην ιστοσελίδα του Προγράμματος. Σε ειδικό πεδίο της αίτησης</w:t>
      </w:r>
      <w:r w:rsidR="00B16C20">
        <w:rPr>
          <w:rFonts w:cs="ArialMT"/>
        </w:rPr>
        <w:t>,</w:t>
      </w:r>
      <w:r w:rsidRPr="001039D4">
        <w:rPr>
          <w:rFonts w:cs="ArialMT"/>
        </w:rPr>
        <w:t xml:space="preserve"> ο Υποψήφιος έχει αποδεχθεί </w:t>
      </w:r>
      <w:r w:rsidR="004D6DFB" w:rsidRPr="001039D4">
        <w:rPr>
          <w:rFonts w:cs="ArialMT"/>
        </w:rPr>
        <w:t xml:space="preserve">εκ των προτέρων </w:t>
      </w:r>
      <w:r w:rsidRPr="001039D4">
        <w:rPr>
          <w:rFonts w:cs="ArialMT"/>
        </w:rPr>
        <w:t>τη δημοσιοποίη</w:t>
      </w:r>
      <w:r w:rsidR="004D6DFB" w:rsidRPr="001039D4">
        <w:rPr>
          <w:rFonts w:cs="ArialMT"/>
        </w:rPr>
        <w:t>ση των προσωπικών του στοιχείων και τον τρόπο ανακοίνωσης.</w:t>
      </w:r>
      <w:r w:rsidRPr="001039D4">
        <w:rPr>
          <w:rFonts w:cs="ArialMT"/>
        </w:rPr>
        <w:t xml:space="preserve"> </w:t>
      </w:r>
    </w:p>
    <w:p w:rsidR="00F93D7D" w:rsidRPr="001039D4" w:rsidRDefault="00F93D7D" w:rsidP="00F93D7D">
      <w:pPr>
        <w:autoSpaceDE w:val="0"/>
        <w:autoSpaceDN w:val="0"/>
        <w:adjustRightInd w:val="0"/>
        <w:spacing w:after="0" w:line="240" w:lineRule="auto"/>
        <w:jc w:val="both"/>
        <w:rPr>
          <w:rFonts w:cs="ArialMT"/>
        </w:rPr>
      </w:pPr>
    </w:p>
    <w:p w:rsidR="009771B4" w:rsidRPr="001039D4" w:rsidRDefault="009771B4" w:rsidP="004D6DFB">
      <w:pPr>
        <w:autoSpaceDE w:val="0"/>
        <w:autoSpaceDN w:val="0"/>
        <w:adjustRightInd w:val="0"/>
        <w:spacing w:after="0" w:line="240" w:lineRule="auto"/>
        <w:jc w:val="both"/>
        <w:rPr>
          <w:rFonts w:cs="ArialMT"/>
        </w:rPr>
      </w:pPr>
      <w:r w:rsidRPr="001039D4">
        <w:rPr>
          <w:rFonts w:cs="ArialMT"/>
        </w:rPr>
        <w:t>Ο τελικός αριθμός μετακινουμένων οριστικοποιείται βάσει των διαθεσίμων χρηματικών</w:t>
      </w:r>
      <w:r w:rsidR="00B16C20">
        <w:rPr>
          <w:rFonts w:cs="ArialMT"/>
        </w:rPr>
        <w:t xml:space="preserve"> </w:t>
      </w:r>
      <w:r w:rsidRPr="001039D4">
        <w:rPr>
          <w:rFonts w:cs="ArialMT"/>
        </w:rPr>
        <w:t>υπολοίπων του προγράμματος και σε περίπτωση που αυτό δεν επαρκεί, δίδεται</w:t>
      </w:r>
      <w:r w:rsidR="004D6DFB" w:rsidRPr="001039D4">
        <w:rPr>
          <w:rFonts w:cs="ArialMT"/>
        </w:rPr>
        <w:t xml:space="preserve"> </w:t>
      </w:r>
      <w:r w:rsidRPr="001039D4">
        <w:rPr>
          <w:rFonts w:cs="ArialMT"/>
        </w:rPr>
        <w:t xml:space="preserve">προτεραιότητα στους υποψηφίους που συμμετέχουν για πρώτη φορά. </w:t>
      </w:r>
    </w:p>
    <w:p w:rsidR="00F93D7D" w:rsidRPr="001039D4" w:rsidRDefault="00F93D7D" w:rsidP="004D6DFB">
      <w:pPr>
        <w:autoSpaceDE w:val="0"/>
        <w:autoSpaceDN w:val="0"/>
        <w:adjustRightInd w:val="0"/>
        <w:spacing w:after="0" w:line="240" w:lineRule="auto"/>
        <w:jc w:val="both"/>
        <w:rPr>
          <w:rFonts w:cs="ArialMT"/>
        </w:rPr>
      </w:pPr>
    </w:p>
    <w:p w:rsidR="009771B4" w:rsidRPr="001039D4" w:rsidRDefault="009771B4" w:rsidP="004D6DFB">
      <w:pPr>
        <w:autoSpaceDE w:val="0"/>
        <w:autoSpaceDN w:val="0"/>
        <w:adjustRightInd w:val="0"/>
        <w:spacing w:after="0" w:line="240" w:lineRule="auto"/>
        <w:jc w:val="both"/>
        <w:rPr>
          <w:rFonts w:cs="ArialMT"/>
        </w:rPr>
      </w:pPr>
      <w:r w:rsidRPr="001039D4">
        <w:rPr>
          <w:rFonts w:cs="ArialMT"/>
        </w:rPr>
        <w:t>Οι Συμφωνίες</w:t>
      </w:r>
      <w:r w:rsidR="004D6DFB" w:rsidRPr="001039D4">
        <w:rPr>
          <w:rFonts w:cs="ArialMT"/>
        </w:rPr>
        <w:t xml:space="preserve">  </w:t>
      </w:r>
      <w:r w:rsidRPr="001039D4">
        <w:rPr>
          <w:rFonts w:cs="ArialMT"/>
        </w:rPr>
        <w:t xml:space="preserve">Σπουδών </w:t>
      </w:r>
      <w:r w:rsidR="004D6DFB" w:rsidRPr="001039D4">
        <w:rPr>
          <w:rFonts w:cs="ArialMT"/>
        </w:rPr>
        <w:t>σ</w:t>
      </w:r>
      <w:r w:rsidRPr="001039D4">
        <w:rPr>
          <w:rFonts w:cs="ArialMT"/>
        </w:rPr>
        <w:t>υμπληρώνονται σε συνεργασία με τον</w:t>
      </w:r>
      <w:r w:rsidR="004D6DFB" w:rsidRPr="001039D4">
        <w:rPr>
          <w:rFonts w:cs="ArialMT"/>
        </w:rPr>
        <w:t xml:space="preserve"> </w:t>
      </w:r>
      <w:r w:rsidRPr="001039D4">
        <w:rPr>
          <w:rFonts w:cs="ArialMT"/>
        </w:rPr>
        <w:t>Ακαδημαϊκό Συντονιστή πριν την αναχώρηση του φοιτητή και παράλληλα,</w:t>
      </w:r>
      <w:r w:rsidR="004D6DFB" w:rsidRPr="001039D4">
        <w:rPr>
          <w:rFonts w:cs="ArialMT"/>
        </w:rPr>
        <w:t xml:space="preserve"> </w:t>
      </w:r>
      <w:r w:rsidRPr="001039D4">
        <w:rPr>
          <w:rFonts w:cs="ArialMT"/>
        </w:rPr>
        <w:t xml:space="preserve">διασφαλίζεται η διαδικασία αναγνώρισης κινητικότητας. </w:t>
      </w:r>
    </w:p>
    <w:p w:rsidR="00F93D7D" w:rsidRPr="001039D4" w:rsidRDefault="00F93D7D" w:rsidP="004D6DFB">
      <w:pPr>
        <w:autoSpaceDE w:val="0"/>
        <w:autoSpaceDN w:val="0"/>
        <w:adjustRightInd w:val="0"/>
        <w:spacing w:after="0" w:line="240" w:lineRule="auto"/>
        <w:jc w:val="both"/>
        <w:rPr>
          <w:rFonts w:cs="ArialMT"/>
        </w:rPr>
      </w:pPr>
    </w:p>
    <w:p w:rsidR="009771B4" w:rsidRPr="001039D4" w:rsidRDefault="009771B4" w:rsidP="004D6DFB">
      <w:pPr>
        <w:autoSpaceDE w:val="0"/>
        <w:autoSpaceDN w:val="0"/>
        <w:adjustRightInd w:val="0"/>
        <w:spacing w:after="0" w:line="240" w:lineRule="auto"/>
        <w:jc w:val="both"/>
        <w:rPr>
          <w:rFonts w:cs="ArialMT"/>
        </w:rPr>
      </w:pPr>
      <w:r w:rsidRPr="001039D4">
        <w:rPr>
          <w:rFonts w:cs="ArialMT"/>
        </w:rPr>
        <w:t>Η Πολιτική Αναγνώρισης των</w:t>
      </w:r>
      <w:r w:rsidR="004D6DFB" w:rsidRPr="001039D4">
        <w:rPr>
          <w:rFonts w:cs="ArialMT"/>
        </w:rPr>
        <w:t xml:space="preserve"> </w:t>
      </w:r>
      <w:r w:rsidRPr="001039D4">
        <w:rPr>
          <w:rFonts w:cs="ArialMT"/>
        </w:rPr>
        <w:t>Πιστωτικών Μονάδων ECTS έχει αναρτηθεί σε εμφανές σημείο στην ιστοσελίδα του</w:t>
      </w:r>
      <w:r w:rsidR="004D6DFB" w:rsidRPr="001039D4">
        <w:rPr>
          <w:rFonts w:cs="ArialMT"/>
        </w:rPr>
        <w:t xml:space="preserve"> </w:t>
      </w:r>
      <w:r w:rsidRPr="001039D4">
        <w:rPr>
          <w:rFonts w:cs="ArialMT"/>
        </w:rPr>
        <w:t>Προγράμματος, ενώ επισημαίνεται και κ</w:t>
      </w:r>
      <w:r w:rsidR="004D6DFB" w:rsidRPr="001039D4">
        <w:rPr>
          <w:rFonts w:cs="ArialMT"/>
        </w:rPr>
        <w:t>ατά την τελική γραπτή ενημέρωση του Ιδρύματος</w:t>
      </w:r>
      <w:r w:rsidRPr="001039D4">
        <w:rPr>
          <w:rFonts w:cs="ArialMT"/>
        </w:rPr>
        <w:t xml:space="preserve"> </w:t>
      </w:r>
      <w:r w:rsidR="004D6DFB" w:rsidRPr="001039D4">
        <w:rPr>
          <w:rFonts w:cs="ArialMT"/>
        </w:rPr>
        <w:t xml:space="preserve">προς </w:t>
      </w:r>
      <w:r w:rsidRPr="001039D4">
        <w:rPr>
          <w:rFonts w:cs="ArialMT"/>
        </w:rPr>
        <w:t>τους φοιτητές. Οι συμβάσεις συμπληρώνονται με ευθύνη του Γραφείου Erasmus και</w:t>
      </w:r>
      <w:r w:rsidR="004D6DFB" w:rsidRPr="001039D4">
        <w:rPr>
          <w:rFonts w:cs="ArialMT"/>
        </w:rPr>
        <w:t xml:space="preserve"> </w:t>
      </w:r>
      <w:r w:rsidRPr="001039D4">
        <w:rPr>
          <w:rFonts w:cs="ArialMT"/>
        </w:rPr>
        <w:t xml:space="preserve">οι φοιτητές ενημερώνονται για θέματα ασφάλισης καθώς και για τα δικαιώματα και </w:t>
      </w:r>
      <w:r w:rsidR="004D6DFB" w:rsidRPr="001039D4">
        <w:rPr>
          <w:rFonts w:cs="ArialMT"/>
        </w:rPr>
        <w:t xml:space="preserve">τις </w:t>
      </w:r>
      <w:r w:rsidRPr="001039D4">
        <w:rPr>
          <w:rFonts w:cs="ArialMT"/>
        </w:rPr>
        <w:t xml:space="preserve">υποχρεώσεις τους (Χάρτης Erasmus).  </w:t>
      </w:r>
    </w:p>
    <w:p w:rsidR="00F93D7D" w:rsidRPr="001039D4" w:rsidRDefault="00F93D7D" w:rsidP="004D6DFB">
      <w:pPr>
        <w:autoSpaceDE w:val="0"/>
        <w:autoSpaceDN w:val="0"/>
        <w:adjustRightInd w:val="0"/>
        <w:spacing w:after="0" w:line="240" w:lineRule="auto"/>
        <w:jc w:val="both"/>
        <w:rPr>
          <w:rFonts w:cs="ArialMT"/>
        </w:rPr>
      </w:pPr>
    </w:p>
    <w:p w:rsidR="009771B4" w:rsidRPr="001039D4" w:rsidRDefault="004D6DFB" w:rsidP="004D6DFB">
      <w:pPr>
        <w:autoSpaceDE w:val="0"/>
        <w:autoSpaceDN w:val="0"/>
        <w:adjustRightInd w:val="0"/>
        <w:spacing w:after="0" w:line="240" w:lineRule="auto"/>
        <w:jc w:val="both"/>
        <w:rPr>
          <w:rFonts w:cs="ArialMT"/>
        </w:rPr>
      </w:pPr>
      <w:r w:rsidRPr="001039D4">
        <w:rPr>
          <w:rFonts w:cs="ArialMT"/>
        </w:rPr>
        <w:t>Επισημαίνεται</w:t>
      </w:r>
      <w:r w:rsidR="009771B4" w:rsidRPr="001039D4">
        <w:rPr>
          <w:rFonts w:cs="ArialMT"/>
        </w:rPr>
        <w:t xml:space="preserve"> ότι η επικοινωνία με τους φοιτητές είναι ενεργή και συστηματική καθ' όλη τη διάρκεια της μετακίνησής τους. </w:t>
      </w:r>
    </w:p>
    <w:p w:rsidR="009771B4" w:rsidRPr="001039D4" w:rsidRDefault="009771B4" w:rsidP="009771B4">
      <w:pPr>
        <w:pStyle w:val="Web"/>
        <w:rPr>
          <w:rFonts w:asciiTheme="minorHAnsi" w:hAnsiTheme="minorHAnsi"/>
          <w:sz w:val="22"/>
          <w:szCs w:val="22"/>
        </w:rPr>
      </w:pPr>
      <w:r w:rsidRPr="001039D4">
        <w:rPr>
          <w:rStyle w:val="a3"/>
          <w:rFonts w:asciiTheme="minorHAnsi" w:hAnsiTheme="minorHAnsi"/>
          <w:sz w:val="22"/>
          <w:szCs w:val="22"/>
        </w:rPr>
        <w:t>ΚΡΙΤΗΡΙΑ ΑΞΙΟΛΟΓΗΣΗΣ ΓΙΑ ERASMUS ΣΠΟΥΔΕΣ</w:t>
      </w:r>
    </w:p>
    <w:p w:rsidR="00614C14" w:rsidRPr="001039D4" w:rsidRDefault="009771B4" w:rsidP="00C608AE">
      <w:pPr>
        <w:autoSpaceDE w:val="0"/>
        <w:autoSpaceDN w:val="0"/>
        <w:adjustRightInd w:val="0"/>
        <w:spacing w:after="0" w:line="240" w:lineRule="auto"/>
        <w:jc w:val="both"/>
      </w:pPr>
      <w:r w:rsidRPr="001039D4">
        <w:t>- Οι υποψήφιοι πρέπει να έχουν ολοκληρώσει τη φοίτησή τους στα δυο πρώτα εξάμηνα των σπουδών τους και θα πρέπει να έχουν εξεταστεί επιτυχώς στο 70% των μαθημάτων των προηγουμένων ετών κατά την ημερομηνία υποβολής της αίτησής τους.</w:t>
      </w:r>
    </w:p>
    <w:p w:rsidR="00614C14" w:rsidRPr="001039D4" w:rsidRDefault="009771B4" w:rsidP="00C608AE">
      <w:pPr>
        <w:autoSpaceDE w:val="0"/>
        <w:autoSpaceDN w:val="0"/>
        <w:adjustRightInd w:val="0"/>
        <w:spacing w:after="0" w:line="240" w:lineRule="auto"/>
        <w:jc w:val="both"/>
      </w:pPr>
      <w:r w:rsidRPr="001039D4">
        <w:br/>
        <w:t xml:space="preserve">- Συνιστάται ο μέσος όρος της αναλυτικής τους βαθμολογίας να μην είναι μικρότερος του 6,5. Σε διαφορετικές περιπτώσεις θα παρέχεται επαρκής αιτιολόγηση. </w:t>
      </w:r>
    </w:p>
    <w:p w:rsidR="00614C14" w:rsidRPr="001039D4" w:rsidRDefault="009771B4" w:rsidP="00C608AE">
      <w:pPr>
        <w:autoSpaceDE w:val="0"/>
        <w:autoSpaceDN w:val="0"/>
        <w:adjustRightInd w:val="0"/>
        <w:spacing w:after="0" w:line="240" w:lineRule="auto"/>
        <w:jc w:val="both"/>
      </w:pPr>
      <w:r w:rsidRPr="001039D4">
        <w:br/>
        <w:t xml:space="preserve">- Γλωσσική επάρκεια: O φοιτητής θα αξιολογείται στη γλώσσα διδασκαλίας του Ιδρύματος υποδοχής. Η πρόσθετη γνώση ξένης γλώσσας θα </w:t>
      </w:r>
      <w:proofErr w:type="spellStart"/>
      <w:r w:rsidRPr="001039D4">
        <w:t>προσμετράται</w:t>
      </w:r>
      <w:proofErr w:type="spellEnd"/>
      <w:r w:rsidRPr="001039D4">
        <w:t xml:space="preserve"> στην τελική αξιολόγηση.</w:t>
      </w:r>
    </w:p>
    <w:p w:rsidR="001F2ACF" w:rsidRPr="001039D4" w:rsidRDefault="009771B4" w:rsidP="00C608AE">
      <w:pPr>
        <w:autoSpaceDE w:val="0"/>
        <w:autoSpaceDN w:val="0"/>
        <w:adjustRightInd w:val="0"/>
        <w:spacing w:after="0" w:line="240" w:lineRule="auto"/>
        <w:jc w:val="both"/>
      </w:pPr>
      <w:r w:rsidRPr="001039D4">
        <w:br/>
        <w:t>- Προσωπική συνέντευξη: Εξετάζεται το κίνητρο συμμετοχής του υποψηφίου.</w:t>
      </w:r>
    </w:p>
    <w:p w:rsidR="001F2ACF" w:rsidRPr="001039D4" w:rsidRDefault="009771B4" w:rsidP="00C608AE">
      <w:pPr>
        <w:autoSpaceDE w:val="0"/>
        <w:autoSpaceDN w:val="0"/>
        <w:adjustRightInd w:val="0"/>
        <w:spacing w:after="0" w:line="240" w:lineRule="auto"/>
        <w:jc w:val="both"/>
      </w:pPr>
      <w:r w:rsidRPr="001039D4">
        <w:br/>
        <w:t>Επισημαίνεται ότι κατά τη διαδικασία της συνέντευξης, οι υποψήφιοι ενημερώνονται</w:t>
      </w:r>
      <w:r w:rsidR="001F2ACF" w:rsidRPr="001039D4">
        <w:t xml:space="preserve"> ότι:</w:t>
      </w:r>
    </w:p>
    <w:p w:rsidR="00157D11" w:rsidRPr="001039D4" w:rsidRDefault="001F2ACF" w:rsidP="00C608AE">
      <w:pPr>
        <w:autoSpaceDE w:val="0"/>
        <w:autoSpaceDN w:val="0"/>
        <w:adjustRightInd w:val="0"/>
        <w:spacing w:after="0" w:line="240" w:lineRule="auto"/>
        <w:jc w:val="both"/>
      </w:pPr>
      <w:r w:rsidRPr="001039D4">
        <w:t>- η α</w:t>
      </w:r>
      <w:r w:rsidR="005C70AE" w:rsidRPr="001039D4">
        <w:t>ίτησή τους είναι δεσμευτική και δεν δύναται να ακυρωθεί παρά μόνο εάν συντρέχουν σοβαροί λόγοι (με σχετική αιτιολόγηση)</w:t>
      </w:r>
      <w:r w:rsidRPr="001039D4">
        <w:t>.</w:t>
      </w:r>
    </w:p>
    <w:p w:rsidR="001F2ACF" w:rsidRPr="001039D4" w:rsidRDefault="001F2ACF" w:rsidP="00C608AE">
      <w:pPr>
        <w:autoSpaceDE w:val="0"/>
        <w:autoSpaceDN w:val="0"/>
        <w:adjustRightInd w:val="0"/>
        <w:spacing w:after="0" w:line="240" w:lineRule="auto"/>
        <w:jc w:val="both"/>
      </w:pPr>
    </w:p>
    <w:p w:rsidR="00157D11" w:rsidRPr="001039D4" w:rsidRDefault="00157D11" w:rsidP="00C608AE">
      <w:pPr>
        <w:autoSpaceDE w:val="0"/>
        <w:autoSpaceDN w:val="0"/>
        <w:adjustRightInd w:val="0"/>
        <w:spacing w:after="0" w:line="240" w:lineRule="auto"/>
        <w:jc w:val="both"/>
      </w:pPr>
      <w:r w:rsidRPr="001039D4">
        <w:lastRenderedPageBreak/>
        <w:t>- υπάρχει η δυνατότητα</w:t>
      </w:r>
      <w:r w:rsidR="009771B4" w:rsidRPr="001039D4">
        <w:t xml:space="preserve"> να αποσύρ</w:t>
      </w:r>
      <w:r w:rsidRPr="001039D4">
        <w:t>ουν</w:t>
      </w:r>
      <w:r w:rsidR="009771B4" w:rsidRPr="001039D4">
        <w:t xml:space="preserve"> την αίτηση υποψηφιότητας, χωρίς κυρώσεις, μέχρι τη λήξη της προσωπικής συνέντευξης. Σε περίπτωση ακύρωσης της αίτησης μετά την ανακοίνωση των αποτελεσμάτων, ο φοιτητής δεν θα έχει δικαίωμα συμμετοχής σε μελλον</w:t>
      </w:r>
      <w:r w:rsidRPr="001039D4">
        <w:t>τικές δράσεις του Προγράμματος.</w:t>
      </w:r>
    </w:p>
    <w:p w:rsidR="001F2ACF" w:rsidRPr="001039D4" w:rsidRDefault="001F2ACF" w:rsidP="009771B4">
      <w:pPr>
        <w:autoSpaceDE w:val="0"/>
        <w:autoSpaceDN w:val="0"/>
        <w:adjustRightInd w:val="0"/>
        <w:spacing w:after="0" w:line="240" w:lineRule="auto"/>
        <w:jc w:val="both"/>
      </w:pPr>
    </w:p>
    <w:p w:rsidR="001F2ACF" w:rsidRPr="001039D4" w:rsidRDefault="00157D11" w:rsidP="001F2ACF">
      <w:pPr>
        <w:autoSpaceDE w:val="0"/>
        <w:autoSpaceDN w:val="0"/>
        <w:adjustRightInd w:val="0"/>
        <w:spacing w:after="0" w:line="240" w:lineRule="auto"/>
        <w:jc w:val="both"/>
      </w:pPr>
      <w:r w:rsidRPr="001039D4">
        <w:t>- Τ</w:t>
      </w:r>
      <w:r w:rsidR="009771B4" w:rsidRPr="001039D4">
        <w:t>α θέματα στέγασης και σίτισης στη χώρα υποδοχής, διευθετούνται με ευθύνη των φοιτητών.</w:t>
      </w:r>
    </w:p>
    <w:p w:rsidR="001F2ACF" w:rsidRPr="001039D4" w:rsidRDefault="001F2ACF" w:rsidP="001F2ACF">
      <w:pPr>
        <w:autoSpaceDE w:val="0"/>
        <w:autoSpaceDN w:val="0"/>
        <w:adjustRightInd w:val="0"/>
        <w:spacing w:after="0" w:line="240" w:lineRule="auto"/>
        <w:jc w:val="both"/>
      </w:pPr>
    </w:p>
    <w:p w:rsidR="00E36BCE" w:rsidRPr="001039D4" w:rsidRDefault="00E36BCE" w:rsidP="001F2ACF">
      <w:pPr>
        <w:autoSpaceDE w:val="0"/>
        <w:autoSpaceDN w:val="0"/>
        <w:adjustRightInd w:val="0"/>
        <w:spacing w:after="0" w:line="240" w:lineRule="auto"/>
        <w:jc w:val="both"/>
      </w:pPr>
      <w:r w:rsidRPr="001039D4">
        <w:t>- Τα αποτελέσματα της ακαδημαϊκής τους επίδοσης θα αξιολογηθούν βάσει της αναλυτικής βαθμολογίας που θα προσκομίσουν μετά τη λήξη της μετακίνησής τους. Επιτυχής, θεωρείται η μετακίνηση όταν ο φοιτητής έχει εξεταστεί σε μαθήματα ισοδύναμα με το ήμισυ των ECTS (π.χ. 15 ECTS όταν προβλέπεται σύνολο 30 ECTS για εξάμηνη μετακίνηση) τα οποία δηλώνονται στη Συμφωνία Σπουδών. Σε διαφορετική περίπτωση, το Ίδρυμα διατηρεί το δικαίωμα να ζητήσει επιστροφή μέρους ή του συνόλου του ποσού της υποτροφίας.</w:t>
      </w:r>
    </w:p>
    <w:p w:rsidR="00E36BCE" w:rsidRPr="001039D4" w:rsidRDefault="00E36BCE" w:rsidP="009771B4">
      <w:pPr>
        <w:autoSpaceDE w:val="0"/>
        <w:autoSpaceDN w:val="0"/>
        <w:adjustRightInd w:val="0"/>
        <w:spacing w:after="0" w:line="240" w:lineRule="auto"/>
        <w:jc w:val="both"/>
      </w:pPr>
    </w:p>
    <w:p w:rsidR="009771B4" w:rsidRPr="001039D4" w:rsidRDefault="005C70AE" w:rsidP="009771B4">
      <w:pPr>
        <w:autoSpaceDE w:val="0"/>
        <w:autoSpaceDN w:val="0"/>
        <w:adjustRightInd w:val="0"/>
        <w:spacing w:after="0" w:line="240" w:lineRule="auto"/>
        <w:jc w:val="both"/>
      </w:pPr>
      <w:r w:rsidRPr="001039D4">
        <w:t>- Η παροχή υποτροφίας δεν καλύπτει το σύνολο των εξόδων μετακίνησης, αλλά μόνο μέρος αυτών.</w:t>
      </w:r>
    </w:p>
    <w:p w:rsidR="00515816" w:rsidRPr="001039D4" w:rsidRDefault="00614C14" w:rsidP="00515816">
      <w:pPr>
        <w:pStyle w:val="Web"/>
        <w:tabs>
          <w:tab w:val="left" w:pos="2145"/>
          <w:tab w:val="left" w:pos="2775"/>
        </w:tabs>
        <w:rPr>
          <w:rFonts w:asciiTheme="minorHAnsi" w:hAnsiTheme="minorHAnsi"/>
          <w:sz w:val="22"/>
          <w:szCs w:val="22"/>
        </w:rPr>
      </w:pPr>
      <w:r w:rsidRPr="001039D4">
        <w:rPr>
          <w:rStyle w:val="a3"/>
          <w:rFonts w:asciiTheme="minorHAnsi" w:hAnsiTheme="minorHAnsi"/>
          <w:sz w:val="22"/>
          <w:szCs w:val="22"/>
        </w:rPr>
        <w:t>ΚΡΙΤΗΡΙΑ ΑΞΙΟΛΟΓΗΣΗΣ ΓΙΑ ERASMUS ΠΡΑΚΤΙΚΗ ΆΣΚΗΣΗ</w:t>
      </w:r>
      <w:r w:rsidRPr="001039D4">
        <w:rPr>
          <w:rFonts w:asciiTheme="minorHAnsi" w:hAnsiTheme="minorHAnsi"/>
          <w:sz w:val="22"/>
          <w:szCs w:val="22"/>
        </w:rPr>
        <w:t xml:space="preserve"> </w:t>
      </w:r>
    </w:p>
    <w:p w:rsidR="005C70AE" w:rsidRPr="001039D4" w:rsidRDefault="00614C14" w:rsidP="00C608AE">
      <w:pPr>
        <w:pStyle w:val="Web"/>
        <w:tabs>
          <w:tab w:val="left" w:pos="2145"/>
          <w:tab w:val="left" w:pos="2775"/>
        </w:tabs>
        <w:jc w:val="both"/>
        <w:rPr>
          <w:rFonts w:asciiTheme="minorHAnsi" w:hAnsiTheme="minorHAnsi"/>
          <w:sz w:val="22"/>
          <w:szCs w:val="22"/>
        </w:rPr>
      </w:pPr>
      <w:r w:rsidRPr="001039D4">
        <w:rPr>
          <w:rFonts w:asciiTheme="minorHAnsi" w:hAnsiTheme="minorHAnsi"/>
          <w:sz w:val="22"/>
          <w:szCs w:val="22"/>
        </w:rPr>
        <w:t>- Οι υποψήφιοι πρέπει να έχουν ολοκληρώσει τη φοίτησή τους στα δυο πρώτα εξάμηνα των σπουδών τους και θα πρέπει να έχουν εξεταστεί επιτυχώς στο 70% των μαθημάτων των</w:t>
      </w:r>
      <w:r w:rsidR="005C70AE" w:rsidRPr="001039D4">
        <w:rPr>
          <w:rFonts w:asciiTheme="minorHAnsi" w:hAnsiTheme="minorHAnsi"/>
          <w:sz w:val="22"/>
          <w:szCs w:val="22"/>
        </w:rPr>
        <w:t xml:space="preserve"> </w:t>
      </w:r>
      <w:r w:rsidRPr="001039D4">
        <w:rPr>
          <w:rFonts w:asciiTheme="minorHAnsi" w:hAnsiTheme="minorHAnsi"/>
          <w:sz w:val="22"/>
          <w:szCs w:val="22"/>
        </w:rPr>
        <w:t>προηγουμένων ετών κατά την ημερομηνία υποβολής της αίτησής τους.</w:t>
      </w:r>
    </w:p>
    <w:p w:rsidR="005C70AE" w:rsidRPr="001039D4" w:rsidRDefault="00614C14" w:rsidP="00C608AE">
      <w:pPr>
        <w:pStyle w:val="Web"/>
        <w:tabs>
          <w:tab w:val="left" w:pos="2145"/>
          <w:tab w:val="left" w:pos="2775"/>
        </w:tabs>
        <w:jc w:val="both"/>
        <w:rPr>
          <w:rFonts w:asciiTheme="minorHAnsi" w:hAnsiTheme="minorHAnsi"/>
          <w:sz w:val="22"/>
          <w:szCs w:val="22"/>
        </w:rPr>
      </w:pPr>
      <w:r w:rsidRPr="001039D4">
        <w:rPr>
          <w:rFonts w:asciiTheme="minorHAnsi" w:hAnsiTheme="minorHAnsi"/>
          <w:sz w:val="22"/>
          <w:szCs w:val="22"/>
        </w:rPr>
        <w:t xml:space="preserve">- Συνιστάται ο μέσος όρος της αναλυτικής τους βαθμολογίας να μην είναι μικρότερος του 6,5. Σε διαφορετικές περιπτώσεις θα υπάρχει επαρκής αιτιολόγηση. </w:t>
      </w:r>
    </w:p>
    <w:p w:rsidR="005C70AE" w:rsidRPr="001039D4" w:rsidRDefault="00614C14" w:rsidP="00C608AE">
      <w:pPr>
        <w:pStyle w:val="Web"/>
        <w:tabs>
          <w:tab w:val="left" w:pos="2145"/>
          <w:tab w:val="left" w:pos="2775"/>
        </w:tabs>
        <w:jc w:val="both"/>
        <w:rPr>
          <w:rFonts w:asciiTheme="minorHAnsi" w:hAnsiTheme="minorHAnsi"/>
          <w:sz w:val="22"/>
          <w:szCs w:val="22"/>
        </w:rPr>
      </w:pPr>
      <w:r w:rsidRPr="001039D4">
        <w:rPr>
          <w:rFonts w:asciiTheme="minorHAnsi" w:hAnsiTheme="minorHAnsi"/>
          <w:sz w:val="22"/>
          <w:szCs w:val="22"/>
        </w:rPr>
        <w:t>- Προηγούνται οι φοιτητές που βρίσκονται στο τελευταίο έτος των σπουδών τους κατά την ημερομηνία της αίτησης.</w:t>
      </w:r>
    </w:p>
    <w:p w:rsidR="005C70AE" w:rsidRPr="001039D4" w:rsidRDefault="00614C14" w:rsidP="00C608AE">
      <w:pPr>
        <w:pStyle w:val="Web"/>
        <w:tabs>
          <w:tab w:val="left" w:pos="2145"/>
          <w:tab w:val="left" w:pos="2775"/>
        </w:tabs>
        <w:jc w:val="both"/>
        <w:rPr>
          <w:rFonts w:asciiTheme="minorHAnsi" w:hAnsiTheme="minorHAnsi"/>
          <w:sz w:val="22"/>
          <w:szCs w:val="22"/>
        </w:rPr>
      </w:pPr>
      <w:r w:rsidRPr="001039D4">
        <w:rPr>
          <w:rFonts w:asciiTheme="minorHAnsi" w:hAnsiTheme="minorHAnsi"/>
          <w:sz w:val="22"/>
          <w:szCs w:val="22"/>
        </w:rPr>
        <w:t>- Γλωσσική επάρκεια: O φοιτητής θα αξιολογείται στη γλώσσα που έχει οριστεί ως «γλώσσα του έργου της Πρακτικής Άσκησης». Η πρόσθετη γνώσ</w:t>
      </w:r>
      <w:r w:rsidR="005C70AE" w:rsidRPr="001039D4">
        <w:rPr>
          <w:rFonts w:asciiTheme="minorHAnsi" w:hAnsiTheme="minorHAnsi"/>
          <w:sz w:val="22"/>
          <w:szCs w:val="22"/>
        </w:rPr>
        <w:t xml:space="preserve">η ξένης γλώσσας θα </w:t>
      </w:r>
      <w:proofErr w:type="spellStart"/>
      <w:r w:rsidR="005C70AE" w:rsidRPr="001039D4">
        <w:rPr>
          <w:rFonts w:asciiTheme="minorHAnsi" w:hAnsiTheme="minorHAnsi"/>
          <w:sz w:val="22"/>
          <w:szCs w:val="22"/>
        </w:rPr>
        <w:t>προσμετράται</w:t>
      </w:r>
      <w:proofErr w:type="spellEnd"/>
      <w:r w:rsidR="005C70AE" w:rsidRPr="001039D4">
        <w:rPr>
          <w:rFonts w:asciiTheme="minorHAnsi" w:hAnsiTheme="minorHAnsi"/>
          <w:sz w:val="22"/>
          <w:szCs w:val="22"/>
        </w:rPr>
        <w:t xml:space="preserve"> </w:t>
      </w:r>
      <w:r w:rsidRPr="001039D4">
        <w:rPr>
          <w:rFonts w:asciiTheme="minorHAnsi" w:hAnsiTheme="minorHAnsi"/>
          <w:sz w:val="22"/>
          <w:szCs w:val="22"/>
        </w:rPr>
        <w:t>στην τελική αξιολόγηση.</w:t>
      </w:r>
    </w:p>
    <w:p w:rsidR="00614C14" w:rsidRPr="001039D4" w:rsidRDefault="00614C14" w:rsidP="00C608AE">
      <w:pPr>
        <w:pStyle w:val="Web"/>
        <w:tabs>
          <w:tab w:val="left" w:pos="2145"/>
          <w:tab w:val="left" w:pos="2775"/>
        </w:tabs>
        <w:jc w:val="both"/>
        <w:rPr>
          <w:rFonts w:asciiTheme="minorHAnsi" w:hAnsiTheme="minorHAnsi"/>
          <w:sz w:val="22"/>
          <w:szCs w:val="22"/>
        </w:rPr>
      </w:pPr>
      <w:r w:rsidRPr="001039D4">
        <w:rPr>
          <w:rFonts w:asciiTheme="minorHAnsi" w:hAnsiTheme="minorHAnsi"/>
          <w:sz w:val="22"/>
          <w:szCs w:val="22"/>
        </w:rPr>
        <w:t>- Προσωπική συνέντευξη: Εξετάζεται το κίνητρο συμμετοχής του υποψηφίου.</w:t>
      </w:r>
    </w:p>
    <w:p w:rsidR="00A24E66" w:rsidRDefault="00614C14" w:rsidP="00C608AE">
      <w:pPr>
        <w:pStyle w:val="Web"/>
        <w:jc w:val="both"/>
        <w:rPr>
          <w:rFonts w:asciiTheme="minorHAnsi" w:hAnsiTheme="minorHAnsi"/>
          <w:sz w:val="22"/>
          <w:szCs w:val="22"/>
        </w:rPr>
      </w:pPr>
      <w:r w:rsidRPr="001039D4">
        <w:rPr>
          <w:rFonts w:asciiTheme="minorHAnsi" w:hAnsiTheme="minorHAnsi"/>
          <w:sz w:val="22"/>
          <w:szCs w:val="22"/>
        </w:rPr>
        <w:t>Επισημαίνεται ότι κατά τη διαδικασία της συνέντευξης, οι υποψήφιοι ενημερώνονται ότι:</w:t>
      </w:r>
    </w:p>
    <w:p w:rsidR="005C70AE" w:rsidRPr="001039D4" w:rsidRDefault="00614C14" w:rsidP="00C608AE">
      <w:pPr>
        <w:pStyle w:val="Web"/>
        <w:jc w:val="both"/>
        <w:rPr>
          <w:rFonts w:asciiTheme="minorHAnsi" w:hAnsiTheme="minorHAnsi"/>
          <w:sz w:val="22"/>
          <w:szCs w:val="22"/>
        </w:rPr>
      </w:pPr>
      <w:r w:rsidRPr="001039D4">
        <w:rPr>
          <w:rFonts w:asciiTheme="minorHAnsi" w:hAnsiTheme="minorHAnsi"/>
          <w:sz w:val="22"/>
          <w:szCs w:val="22"/>
        </w:rPr>
        <w:t>- Η αίτησή τους είναι δεσμευτική και δεν δύναται να ακυρωθεί παρά μόνο εάν συντρέχουν σοβαροί λόγοι (με σχετική αιτιολόγηση).</w:t>
      </w:r>
    </w:p>
    <w:p w:rsidR="005C70AE" w:rsidRPr="001039D4" w:rsidRDefault="00614C14" w:rsidP="005C70AE">
      <w:pPr>
        <w:pStyle w:val="Web"/>
        <w:jc w:val="both"/>
        <w:rPr>
          <w:rFonts w:asciiTheme="minorHAnsi" w:hAnsiTheme="minorHAnsi"/>
          <w:sz w:val="22"/>
          <w:szCs w:val="22"/>
        </w:rPr>
      </w:pPr>
      <w:r w:rsidRPr="001039D4">
        <w:rPr>
          <w:rFonts w:asciiTheme="minorHAnsi" w:hAnsiTheme="minorHAnsi"/>
          <w:sz w:val="22"/>
          <w:szCs w:val="22"/>
        </w:rPr>
        <w:t xml:space="preserve">- Ο φοιτητής μπορεί να αποσύρει την αίτηση υποψηφιότητας, χωρίς κυρώσεις, μέχρι τη λήξη της προσωπικής συνέντευξης. Σε περίπτωση ακύρωσης της αίτησης μετά την ανακοίνωση </w:t>
      </w:r>
      <w:r w:rsidRPr="001039D4">
        <w:rPr>
          <w:rFonts w:asciiTheme="minorHAnsi" w:hAnsiTheme="minorHAnsi"/>
          <w:sz w:val="22"/>
          <w:szCs w:val="22"/>
        </w:rPr>
        <w:lastRenderedPageBreak/>
        <w:t xml:space="preserve">των αποτελεσμάτων, ο φοιτητής δεν θα έχει δικαίωμα συμμετοχής σε μελλοντικές δράσεις του Προγράμματος. </w:t>
      </w:r>
    </w:p>
    <w:p w:rsidR="005C70AE" w:rsidRPr="001039D4" w:rsidRDefault="00614C14" w:rsidP="005C70AE">
      <w:pPr>
        <w:pStyle w:val="Web"/>
        <w:jc w:val="both"/>
        <w:rPr>
          <w:rFonts w:asciiTheme="minorHAnsi" w:hAnsiTheme="minorHAnsi"/>
          <w:sz w:val="22"/>
          <w:szCs w:val="22"/>
        </w:rPr>
      </w:pPr>
      <w:r w:rsidRPr="001039D4">
        <w:rPr>
          <w:rFonts w:asciiTheme="minorHAnsi" w:hAnsiTheme="minorHAnsi"/>
          <w:sz w:val="22"/>
          <w:szCs w:val="22"/>
        </w:rPr>
        <w:t>- Τα θέματα στέγασης και σίτισης στη χώρα υποδοχής, διευθετούνται με ευθύνη των φοιτητών.</w:t>
      </w:r>
    </w:p>
    <w:p w:rsidR="00E36BCE" w:rsidRDefault="00E36BCE" w:rsidP="00E36BCE">
      <w:pPr>
        <w:spacing w:after="150" w:line="240" w:lineRule="auto"/>
        <w:jc w:val="both"/>
        <w:rPr>
          <w:rFonts w:eastAsia="Times New Roman" w:cs="Arial"/>
          <w:lang w:eastAsia="el-GR"/>
        </w:rPr>
      </w:pPr>
      <w:r w:rsidRPr="001039D4">
        <w:rPr>
          <w:rFonts w:eastAsia="Times New Roman" w:cs="Arial"/>
          <w:lang w:eastAsia="el-GR"/>
        </w:rPr>
        <w:t> Τα αποτελέσματα της ακαδημαϊκής επίδοσης των φοιτητών που μετακινούνται για πρακτική άσκηση αξιολογούνται βάσει της βεβαίωσης ολοκλήρωσης του έργου στην οποία περιλαμβάνεται και η κλίμακα αξιολόγησης, ως εξής:</w:t>
      </w:r>
    </w:p>
    <w:tbl>
      <w:tblPr>
        <w:tblStyle w:val="a8"/>
        <w:tblW w:w="0" w:type="auto"/>
        <w:tblLook w:val="04A0" w:firstRow="1" w:lastRow="0" w:firstColumn="1" w:lastColumn="0" w:noHBand="0" w:noVBand="1"/>
      </w:tblPr>
      <w:tblGrid>
        <w:gridCol w:w="2074"/>
        <w:gridCol w:w="2074"/>
        <w:gridCol w:w="2074"/>
        <w:gridCol w:w="2074"/>
      </w:tblGrid>
      <w:tr w:rsidR="005F602E" w:rsidTr="00026717">
        <w:trPr>
          <w:trHeight w:val="1304"/>
        </w:trPr>
        <w:tc>
          <w:tcPr>
            <w:tcW w:w="2074" w:type="dxa"/>
          </w:tcPr>
          <w:p w:rsidR="005F602E" w:rsidRDefault="005F602E" w:rsidP="00E36BCE">
            <w:pPr>
              <w:spacing w:after="150"/>
              <w:jc w:val="both"/>
              <w:rPr>
                <w:rFonts w:eastAsia="Times New Roman" w:cs="Arial"/>
                <w:lang w:eastAsia="el-GR"/>
              </w:rPr>
            </w:pPr>
          </w:p>
        </w:tc>
        <w:tc>
          <w:tcPr>
            <w:tcW w:w="2074" w:type="dxa"/>
          </w:tcPr>
          <w:p w:rsidR="005F602E" w:rsidRDefault="005F602E" w:rsidP="005F602E">
            <w:pPr>
              <w:spacing w:after="150"/>
              <w:jc w:val="center"/>
              <w:rPr>
                <w:rFonts w:eastAsia="Times New Roman" w:cs="Arial"/>
                <w:lang w:eastAsia="el-GR"/>
              </w:rPr>
            </w:pPr>
            <w:r>
              <w:rPr>
                <w:rFonts w:eastAsia="Times New Roman" w:cs="Arial"/>
                <w:lang w:eastAsia="el-GR"/>
              </w:rPr>
              <w:t>Ποσοστό φοιτητών που συνήθως αξιολογούνται με αυτό το βαθμό</w:t>
            </w:r>
          </w:p>
          <w:p w:rsidR="005F602E" w:rsidRDefault="005F602E" w:rsidP="005F602E">
            <w:pPr>
              <w:spacing w:after="150"/>
              <w:jc w:val="center"/>
              <w:rPr>
                <w:rFonts w:eastAsia="Times New Roman" w:cs="Arial"/>
                <w:lang w:eastAsia="el-GR"/>
              </w:rPr>
            </w:pPr>
            <w:r>
              <w:rPr>
                <w:rFonts w:eastAsia="Times New Roman" w:cs="Arial"/>
                <w:lang w:eastAsia="el-GR"/>
              </w:rPr>
              <w:t>%</w:t>
            </w:r>
          </w:p>
        </w:tc>
        <w:tc>
          <w:tcPr>
            <w:tcW w:w="2074" w:type="dxa"/>
          </w:tcPr>
          <w:p w:rsidR="005F602E" w:rsidRDefault="005F602E" w:rsidP="005F602E">
            <w:pPr>
              <w:spacing w:after="150"/>
              <w:jc w:val="center"/>
              <w:rPr>
                <w:rFonts w:eastAsia="Times New Roman" w:cs="Arial"/>
                <w:lang w:eastAsia="el-GR"/>
              </w:rPr>
            </w:pPr>
            <w:r>
              <w:rPr>
                <w:rFonts w:eastAsia="Times New Roman" w:cs="Arial"/>
                <w:lang w:eastAsia="el-GR"/>
              </w:rPr>
              <w:t>Ορισμός</w:t>
            </w:r>
          </w:p>
        </w:tc>
        <w:tc>
          <w:tcPr>
            <w:tcW w:w="2074" w:type="dxa"/>
          </w:tcPr>
          <w:p w:rsidR="005F602E" w:rsidRDefault="005F602E" w:rsidP="005F602E">
            <w:pPr>
              <w:spacing w:after="150"/>
              <w:jc w:val="center"/>
              <w:rPr>
                <w:rFonts w:eastAsia="Times New Roman" w:cs="Arial"/>
                <w:lang w:eastAsia="el-GR"/>
              </w:rPr>
            </w:pPr>
            <w:r>
              <w:rPr>
                <w:rFonts w:eastAsia="Times New Roman" w:cs="Arial"/>
                <w:lang w:eastAsia="el-GR"/>
              </w:rPr>
              <w:t>Περιοχή βαθμολογίας</w:t>
            </w:r>
          </w:p>
        </w:tc>
      </w:tr>
      <w:tr w:rsidR="005F602E" w:rsidTr="00026717">
        <w:trPr>
          <w:trHeight w:val="978"/>
        </w:trPr>
        <w:tc>
          <w:tcPr>
            <w:tcW w:w="2074" w:type="dxa"/>
          </w:tcPr>
          <w:p w:rsidR="005F602E" w:rsidRPr="005F602E" w:rsidRDefault="005F602E" w:rsidP="00026717">
            <w:pPr>
              <w:spacing w:after="150"/>
              <w:jc w:val="center"/>
              <w:rPr>
                <w:rFonts w:eastAsia="Times New Roman" w:cs="Arial"/>
                <w:lang w:val="en-US" w:eastAsia="el-GR"/>
              </w:rPr>
            </w:pPr>
            <w:r>
              <w:rPr>
                <w:rFonts w:eastAsia="Times New Roman" w:cs="Arial"/>
                <w:lang w:val="en-US" w:eastAsia="el-GR"/>
              </w:rPr>
              <w:t>A</w:t>
            </w:r>
          </w:p>
        </w:tc>
        <w:tc>
          <w:tcPr>
            <w:tcW w:w="2074" w:type="dxa"/>
          </w:tcPr>
          <w:p w:rsidR="005F602E" w:rsidRPr="005F602E" w:rsidRDefault="005F602E" w:rsidP="00026717">
            <w:pPr>
              <w:spacing w:after="150"/>
              <w:jc w:val="center"/>
              <w:rPr>
                <w:rFonts w:eastAsia="Times New Roman" w:cs="Arial"/>
                <w:lang w:val="en-US" w:eastAsia="el-GR"/>
              </w:rPr>
            </w:pPr>
            <w:r>
              <w:rPr>
                <w:rFonts w:eastAsia="Times New Roman" w:cs="Arial"/>
                <w:lang w:val="en-US" w:eastAsia="el-GR"/>
              </w:rPr>
              <w:t>10</w:t>
            </w:r>
          </w:p>
        </w:tc>
        <w:tc>
          <w:tcPr>
            <w:tcW w:w="2074" w:type="dxa"/>
          </w:tcPr>
          <w:p w:rsidR="005F602E" w:rsidRPr="005F602E" w:rsidRDefault="005F602E" w:rsidP="00026717">
            <w:pPr>
              <w:spacing w:after="150"/>
              <w:rPr>
                <w:rFonts w:eastAsia="Times New Roman" w:cs="Arial"/>
                <w:lang w:eastAsia="el-GR"/>
              </w:rPr>
            </w:pPr>
            <w:r>
              <w:rPr>
                <w:rFonts w:eastAsia="Times New Roman" w:cs="Arial"/>
                <w:lang w:eastAsia="el-GR"/>
              </w:rPr>
              <w:t>Άριστα-άριστο αποτέλεσμα με επουσιώδεις ελλείψεις</w:t>
            </w:r>
          </w:p>
        </w:tc>
        <w:tc>
          <w:tcPr>
            <w:tcW w:w="2074" w:type="dxa"/>
          </w:tcPr>
          <w:p w:rsidR="005F602E" w:rsidRDefault="005F602E" w:rsidP="00026717">
            <w:pPr>
              <w:spacing w:after="150"/>
              <w:rPr>
                <w:rFonts w:eastAsia="Times New Roman" w:cs="Arial"/>
                <w:lang w:eastAsia="el-GR"/>
              </w:rPr>
            </w:pPr>
            <w:r>
              <w:rPr>
                <w:rFonts w:eastAsia="Times New Roman" w:cs="Arial"/>
                <w:lang w:eastAsia="el-GR"/>
              </w:rPr>
              <w:t>9-10</w:t>
            </w:r>
          </w:p>
        </w:tc>
      </w:tr>
      <w:tr w:rsidR="005F602E" w:rsidTr="005F602E">
        <w:tc>
          <w:tcPr>
            <w:tcW w:w="2074" w:type="dxa"/>
          </w:tcPr>
          <w:p w:rsidR="005F602E" w:rsidRPr="005F602E" w:rsidRDefault="005F602E" w:rsidP="00026717">
            <w:pPr>
              <w:spacing w:after="150"/>
              <w:jc w:val="center"/>
              <w:rPr>
                <w:rFonts w:eastAsia="Times New Roman" w:cs="Arial"/>
                <w:lang w:val="en-US" w:eastAsia="el-GR"/>
              </w:rPr>
            </w:pPr>
            <w:r>
              <w:rPr>
                <w:rFonts w:eastAsia="Times New Roman" w:cs="Arial"/>
                <w:lang w:val="en-US" w:eastAsia="el-GR"/>
              </w:rPr>
              <w:t>B</w:t>
            </w:r>
          </w:p>
        </w:tc>
        <w:tc>
          <w:tcPr>
            <w:tcW w:w="2074" w:type="dxa"/>
          </w:tcPr>
          <w:p w:rsidR="005F602E" w:rsidRPr="005F602E" w:rsidRDefault="005F602E" w:rsidP="00026717">
            <w:pPr>
              <w:spacing w:after="150"/>
              <w:jc w:val="center"/>
              <w:rPr>
                <w:rFonts w:eastAsia="Times New Roman" w:cs="Arial"/>
                <w:lang w:val="en-US" w:eastAsia="el-GR"/>
              </w:rPr>
            </w:pPr>
            <w:r>
              <w:rPr>
                <w:rFonts w:eastAsia="Times New Roman" w:cs="Arial"/>
                <w:lang w:val="en-US" w:eastAsia="el-GR"/>
              </w:rPr>
              <w:t>25</w:t>
            </w:r>
          </w:p>
        </w:tc>
        <w:tc>
          <w:tcPr>
            <w:tcW w:w="2074" w:type="dxa"/>
          </w:tcPr>
          <w:p w:rsidR="005F602E" w:rsidRDefault="005F602E" w:rsidP="00026717">
            <w:pPr>
              <w:spacing w:after="150"/>
              <w:rPr>
                <w:rFonts w:eastAsia="Times New Roman" w:cs="Arial"/>
                <w:lang w:eastAsia="el-GR"/>
              </w:rPr>
            </w:pPr>
            <w:r>
              <w:rPr>
                <w:rFonts w:eastAsia="Times New Roman" w:cs="Arial"/>
                <w:lang w:eastAsia="el-GR"/>
              </w:rPr>
              <w:t>Πολύ καλά-άνω του μετρίου, με ορισμένες ελλείψεις</w:t>
            </w:r>
          </w:p>
        </w:tc>
        <w:tc>
          <w:tcPr>
            <w:tcW w:w="2074" w:type="dxa"/>
          </w:tcPr>
          <w:p w:rsidR="005F602E" w:rsidRDefault="005F602E" w:rsidP="00026717">
            <w:pPr>
              <w:spacing w:after="150"/>
              <w:rPr>
                <w:rFonts w:eastAsia="Times New Roman" w:cs="Arial"/>
                <w:lang w:eastAsia="el-GR"/>
              </w:rPr>
            </w:pPr>
            <w:r>
              <w:rPr>
                <w:rFonts w:eastAsia="Times New Roman" w:cs="Arial"/>
                <w:lang w:eastAsia="el-GR"/>
              </w:rPr>
              <w:t>8-8.99</w:t>
            </w:r>
          </w:p>
        </w:tc>
      </w:tr>
      <w:tr w:rsidR="005F602E" w:rsidTr="005F602E">
        <w:tc>
          <w:tcPr>
            <w:tcW w:w="2074" w:type="dxa"/>
          </w:tcPr>
          <w:p w:rsidR="005F602E" w:rsidRPr="005F602E" w:rsidRDefault="005F602E" w:rsidP="00026717">
            <w:pPr>
              <w:spacing w:after="150"/>
              <w:jc w:val="center"/>
              <w:rPr>
                <w:rFonts w:eastAsia="Times New Roman" w:cs="Arial"/>
                <w:lang w:val="en-US" w:eastAsia="el-GR"/>
              </w:rPr>
            </w:pPr>
            <w:r>
              <w:rPr>
                <w:rFonts w:eastAsia="Times New Roman" w:cs="Arial"/>
                <w:lang w:val="en-US" w:eastAsia="el-GR"/>
              </w:rPr>
              <w:t>C</w:t>
            </w:r>
          </w:p>
        </w:tc>
        <w:tc>
          <w:tcPr>
            <w:tcW w:w="2074" w:type="dxa"/>
          </w:tcPr>
          <w:p w:rsidR="005F602E" w:rsidRPr="005F602E" w:rsidRDefault="005F602E" w:rsidP="00026717">
            <w:pPr>
              <w:spacing w:after="150"/>
              <w:jc w:val="center"/>
              <w:rPr>
                <w:rFonts w:eastAsia="Times New Roman" w:cs="Arial"/>
                <w:lang w:val="en-US" w:eastAsia="el-GR"/>
              </w:rPr>
            </w:pPr>
            <w:r>
              <w:rPr>
                <w:rFonts w:eastAsia="Times New Roman" w:cs="Arial"/>
                <w:lang w:val="en-US" w:eastAsia="el-GR"/>
              </w:rPr>
              <w:t>30</w:t>
            </w:r>
          </w:p>
        </w:tc>
        <w:tc>
          <w:tcPr>
            <w:tcW w:w="2074" w:type="dxa"/>
          </w:tcPr>
          <w:p w:rsidR="005F602E" w:rsidRDefault="005F602E" w:rsidP="00026717">
            <w:pPr>
              <w:spacing w:after="150"/>
              <w:rPr>
                <w:rFonts w:eastAsia="Times New Roman" w:cs="Arial"/>
                <w:lang w:eastAsia="el-GR"/>
              </w:rPr>
            </w:pPr>
            <w:r>
              <w:rPr>
                <w:rFonts w:eastAsia="Times New Roman" w:cs="Arial"/>
                <w:lang w:eastAsia="el-GR"/>
              </w:rPr>
              <w:t>Καλά-καλή εργασία με ορισμένες σημαντικές ελλείψεις</w:t>
            </w:r>
          </w:p>
        </w:tc>
        <w:tc>
          <w:tcPr>
            <w:tcW w:w="2074" w:type="dxa"/>
          </w:tcPr>
          <w:p w:rsidR="005F602E" w:rsidRDefault="005F602E" w:rsidP="00026717">
            <w:pPr>
              <w:spacing w:after="150"/>
              <w:rPr>
                <w:rFonts w:eastAsia="Times New Roman" w:cs="Arial"/>
                <w:lang w:eastAsia="el-GR"/>
              </w:rPr>
            </w:pPr>
            <w:r>
              <w:rPr>
                <w:rFonts w:eastAsia="Times New Roman" w:cs="Arial"/>
                <w:lang w:eastAsia="el-GR"/>
              </w:rPr>
              <w:t>7-7.99</w:t>
            </w:r>
          </w:p>
        </w:tc>
      </w:tr>
      <w:tr w:rsidR="005F602E" w:rsidTr="005F602E">
        <w:tc>
          <w:tcPr>
            <w:tcW w:w="2074" w:type="dxa"/>
          </w:tcPr>
          <w:p w:rsidR="005F602E" w:rsidRPr="005F602E" w:rsidRDefault="005F602E" w:rsidP="00026717">
            <w:pPr>
              <w:spacing w:after="150"/>
              <w:jc w:val="center"/>
              <w:rPr>
                <w:rFonts w:eastAsia="Times New Roman" w:cs="Arial"/>
                <w:lang w:val="en-US" w:eastAsia="el-GR"/>
              </w:rPr>
            </w:pPr>
            <w:r>
              <w:rPr>
                <w:rFonts w:eastAsia="Times New Roman" w:cs="Arial"/>
                <w:lang w:val="en-US" w:eastAsia="el-GR"/>
              </w:rPr>
              <w:t>D</w:t>
            </w:r>
          </w:p>
        </w:tc>
        <w:tc>
          <w:tcPr>
            <w:tcW w:w="2074" w:type="dxa"/>
          </w:tcPr>
          <w:p w:rsidR="005F602E" w:rsidRPr="005F602E" w:rsidRDefault="005F602E" w:rsidP="00026717">
            <w:pPr>
              <w:spacing w:after="150"/>
              <w:jc w:val="center"/>
              <w:rPr>
                <w:rFonts w:eastAsia="Times New Roman" w:cs="Arial"/>
                <w:lang w:val="en-US" w:eastAsia="el-GR"/>
              </w:rPr>
            </w:pPr>
            <w:r>
              <w:rPr>
                <w:rFonts w:eastAsia="Times New Roman" w:cs="Arial"/>
                <w:lang w:val="en-US" w:eastAsia="el-GR"/>
              </w:rPr>
              <w:t>25</w:t>
            </w:r>
          </w:p>
        </w:tc>
        <w:tc>
          <w:tcPr>
            <w:tcW w:w="2074" w:type="dxa"/>
          </w:tcPr>
          <w:p w:rsidR="005F602E" w:rsidRDefault="005F602E" w:rsidP="00026717">
            <w:pPr>
              <w:spacing w:after="150"/>
              <w:rPr>
                <w:rFonts w:eastAsia="Times New Roman" w:cs="Arial"/>
                <w:lang w:eastAsia="el-GR"/>
              </w:rPr>
            </w:pPr>
            <w:r>
              <w:rPr>
                <w:rFonts w:eastAsia="Times New Roman" w:cs="Arial"/>
                <w:lang w:eastAsia="el-GR"/>
              </w:rPr>
              <w:t>Αρκετά καλά-αποδεκτό επίπεδο εργασίας, αλλά με σοβαρές ελλείψεις</w:t>
            </w:r>
          </w:p>
        </w:tc>
        <w:tc>
          <w:tcPr>
            <w:tcW w:w="2074" w:type="dxa"/>
          </w:tcPr>
          <w:p w:rsidR="005F602E" w:rsidRDefault="005F602E" w:rsidP="00026717">
            <w:pPr>
              <w:spacing w:after="150"/>
              <w:rPr>
                <w:rFonts w:eastAsia="Times New Roman" w:cs="Arial"/>
                <w:lang w:eastAsia="el-GR"/>
              </w:rPr>
            </w:pPr>
            <w:r>
              <w:rPr>
                <w:rFonts w:eastAsia="Times New Roman" w:cs="Arial"/>
                <w:lang w:eastAsia="el-GR"/>
              </w:rPr>
              <w:t>6-6.99</w:t>
            </w:r>
          </w:p>
        </w:tc>
      </w:tr>
      <w:tr w:rsidR="005F602E" w:rsidTr="005F602E">
        <w:tc>
          <w:tcPr>
            <w:tcW w:w="2074" w:type="dxa"/>
          </w:tcPr>
          <w:p w:rsidR="005F602E" w:rsidRPr="005F602E" w:rsidRDefault="005F602E" w:rsidP="00026717">
            <w:pPr>
              <w:spacing w:after="150"/>
              <w:jc w:val="center"/>
              <w:rPr>
                <w:rFonts w:eastAsia="Times New Roman" w:cs="Arial"/>
                <w:lang w:val="en-US" w:eastAsia="el-GR"/>
              </w:rPr>
            </w:pPr>
            <w:r>
              <w:rPr>
                <w:rFonts w:eastAsia="Times New Roman" w:cs="Arial"/>
                <w:lang w:val="en-US" w:eastAsia="el-GR"/>
              </w:rPr>
              <w:t>E</w:t>
            </w:r>
          </w:p>
        </w:tc>
        <w:tc>
          <w:tcPr>
            <w:tcW w:w="2074" w:type="dxa"/>
          </w:tcPr>
          <w:p w:rsidR="005F602E" w:rsidRPr="005F602E" w:rsidRDefault="005F602E" w:rsidP="00026717">
            <w:pPr>
              <w:spacing w:after="150"/>
              <w:jc w:val="center"/>
              <w:rPr>
                <w:rFonts w:eastAsia="Times New Roman" w:cs="Arial"/>
                <w:lang w:val="en-US" w:eastAsia="el-GR"/>
              </w:rPr>
            </w:pPr>
            <w:r>
              <w:rPr>
                <w:rFonts w:eastAsia="Times New Roman" w:cs="Arial"/>
                <w:lang w:val="en-US" w:eastAsia="el-GR"/>
              </w:rPr>
              <w:t>10</w:t>
            </w:r>
          </w:p>
        </w:tc>
        <w:tc>
          <w:tcPr>
            <w:tcW w:w="2074" w:type="dxa"/>
          </w:tcPr>
          <w:p w:rsidR="005F602E" w:rsidRDefault="005F602E" w:rsidP="00026717">
            <w:pPr>
              <w:spacing w:after="150"/>
              <w:rPr>
                <w:rFonts w:eastAsia="Times New Roman" w:cs="Arial"/>
                <w:lang w:eastAsia="el-GR"/>
              </w:rPr>
            </w:pPr>
            <w:r>
              <w:rPr>
                <w:rFonts w:eastAsia="Times New Roman" w:cs="Arial"/>
                <w:lang w:eastAsia="el-GR"/>
              </w:rPr>
              <w:t>Ικανοποιητικά-η εργασία πληροί τα ελάχιστα κριτήρια</w:t>
            </w:r>
          </w:p>
        </w:tc>
        <w:tc>
          <w:tcPr>
            <w:tcW w:w="2074" w:type="dxa"/>
          </w:tcPr>
          <w:p w:rsidR="005F602E" w:rsidRDefault="005F602E" w:rsidP="00026717">
            <w:pPr>
              <w:spacing w:after="150"/>
              <w:rPr>
                <w:rFonts w:eastAsia="Times New Roman" w:cs="Arial"/>
                <w:lang w:eastAsia="el-GR"/>
              </w:rPr>
            </w:pPr>
            <w:r>
              <w:rPr>
                <w:rFonts w:eastAsia="Times New Roman" w:cs="Arial"/>
                <w:lang w:eastAsia="el-GR"/>
              </w:rPr>
              <w:t>5-5.99</w:t>
            </w:r>
          </w:p>
        </w:tc>
      </w:tr>
      <w:tr w:rsidR="005F602E" w:rsidTr="005F602E">
        <w:tc>
          <w:tcPr>
            <w:tcW w:w="2074" w:type="dxa"/>
          </w:tcPr>
          <w:p w:rsidR="005F602E" w:rsidRPr="005F602E" w:rsidRDefault="005F602E" w:rsidP="00026717">
            <w:pPr>
              <w:spacing w:after="150"/>
              <w:jc w:val="center"/>
              <w:rPr>
                <w:rFonts w:eastAsia="Times New Roman" w:cs="Arial"/>
                <w:lang w:val="en-US" w:eastAsia="el-GR"/>
              </w:rPr>
            </w:pPr>
            <w:r>
              <w:rPr>
                <w:rFonts w:eastAsia="Times New Roman" w:cs="Arial"/>
                <w:lang w:val="en-US" w:eastAsia="el-GR"/>
              </w:rPr>
              <w:t>FX</w:t>
            </w:r>
          </w:p>
        </w:tc>
        <w:tc>
          <w:tcPr>
            <w:tcW w:w="2074" w:type="dxa"/>
          </w:tcPr>
          <w:p w:rsidR="005F602E" w:rsidRPr="005F602E" w:rsidRDefault="005F602E" w:rsidP="00026717">
            <w:pPr>
              <w:spacing w:after="150"/>
              <w:jc w:val="center"/>
              <w:rPr>
                <w:rFonts w:eastAsia="Times New Roman" w:cs="Arial"/>
                <w:lang w:val="en-US" w:eastAsia="el-GR"/>
              </w:rPr>
            </w:pPr>
            <w:r>
              <w:rPr>
                <w:rFonts w:eastAsia="Times New Roman" w:cs="Arial"/>
                <w:lang w:val="en-US" w:eastAsia="el-GR"/>
              </w:rPr>
              <w:t>-</w:t>
            </w:r>
          </w:p>
        </w:tc>
        <w:tc>
          <w:tcPr>
            <w:tcW w:w="2074" w:type="dxa"/>
          </w:tcPr>
          <w:p w:rsidR="005F602E" w:rsidRDefault="005F602E" w:rsidP="00026717">
            <w:pPr>
              <w:spacing w:after="150"/>
              <w:rPr>
                <w:rFonts w:eastAsia="Times New Roman" w:cs="Arial"/>
                <w:lang w:eastAsia="el-GR"/>
              </w:rPr>
            </w:pPr>
            <w:r>
              <w:rPr>
                <w:rFonts w:eastAsia="Times New Roman" w:cs="Arial"/>
                <w:lang w:eastAsia="el-GR"/>
              </w:rPr>
              <w:t xml:space="preserve">Αποτυχία-απαιτείται μεγαλύτερη προσπάθεια για την επιτυχή ολοκλήρωση και την απονομή </w:t>
            </w:r>
            <w:r>
              <w:rPr>
                <w:rFonts w:eastAsia="Times New Roman" w:cs="Arial"/>
                <w:lang w:eastAsia="el-GR"/>
              </w:rPr>
              <w:lastRenderedPageBreak/>
              <w:t>πιστωτικών μονάδων</w:t>
            </w:r>
          </w:p>
        </w:tc>
        <w:tc>
          <w:tcPr>
            <w:tcW w:w="2074" w:type="dxa"/>
          </w:tcPr>
          <w:p w:rsidR="005F602E" w:rsidRDefault="005F602E" w:rsidP="00026717">
            <w:pPr>
              <w:spacing w:after="150"/>
              <w:rPr>
                <w:rFonts w:eastAsia="Times New Roman" w:cs="Arial"/>
                <w:lang w:eastAsia="el-GR"/>
              </w:rPr>
            </w:pPr>
            <w:r>
              <w:rPr>
                <w:rFonts w:eastAsia="Times New Roman" w:cs="Arial"/>
                <w:lang w:eastAsia="el-GR"/>
              </w:rPr>
              <w:lastRenderedPageBreak/>
              <w:t>3.5-4.99</w:t>
            </w:r>
          </w:p>
        </w:tc>
      </w:tr>
      <w:tr w:rsidR="005F602E" w:rsidTr="005F602E">
        <w:tc>
          <w:tcPr>
            <w:tcW w:w="2074" w:type="dxa"/>
          </w:tcPr>
          <w:p w:rsidR="005F602E" w:rsidRPr="005F602E" w:rsidRDefault="005F602E" w:rsidP="00E36BCE">
            <w:pPr>
              <w:spacing w:after="150"/>
              <w:jc w:val="both"/>
              <w:rPr>
                <w:rFonts w:eastAsia="Times New Roman" w:cs="Arial"/>
                <w:lang w:val="en-US" w:eastAsia="el-GR"/>
              </w:rPr>
            </w:pPr>
            <w:r>
              <w:rPr>
                <w:rFonts w:eastAsia="Times New Roman" w:cs="Arial"/>
                <w:lang w:val="en-US" w:eastAsia="el-GR"/>
              </w:rPr>
              <w:t>F</w:t>
            </w:r>
          </w:p>
        </w:tc>
        <w:tc>
          <w:tcPr>
            <w:tcW w:w="2074" w:type="dxa"/>
          </w:tcPr>
          <w:p w:rsidR="005F602E" w:rsidRPr="005F602E" w:rsidRDefault="005F602E" w:rsidP="00E36BCE">
            <w:pPr>
              <w:spacing w:after="150"/>
              <w:jc w:val="both"/>
              <w:rPr>
                <w:rFonts w:eastAsia="Times New Roman" w:cs="Arial"/>
                <w:lang w:val="en-US" w:eastAsia="el-GR"/>
              </w:rPr>
            </w:pPr>
            <w:r>
              <w:rPr>
                <w:rFonts w:eastAsia="Times New Roman" w:cs="Arial"/>
                <w:lang w:val="en-US" w:eastAsia="el-GR"/>
              </w:rPr>
              <w:t>-</w:t>
            </w:r>
          </w:p>
        </w:tc>
        <w:tc>
          <w:tcPr>
            <w:tcW w:w="2074" w:type="dxa"/>
          </w:tcPr>
          <w:p w:rsidR="005F602E" w:rsidRDefault="005F602E" w:rsidP="00026717">
            <w:pPr>
              <w:spacing w:after="150"/>
              <w:rPr>
                <w:rFonts w:eastAsia="Times New Roman" w:cs="Arial"/>
                <w:lang w:eastAsia="el-GR"/>
              </w:rPr>
            </w:pPr>
            <w:r>
              <w:rPr>
                <w:rFonts w:eastAsia="Times New Roman" w:cs="Arial"/>
                <w:lang w:eastAsia="el-GR"/>
              </w:rPr>
              <w:t>Αποτυχία-απαιτείται πολύ μεγαλύτερη προσπάθεια</w:t>
            </w:r>
          </w:p>
        </w:tc>
        <w:tc>
          <w:tcPr>
            <w:tcW w:w="2074" w:type="dxa"/>
          </w:tcPr>
          <w:p w:rsidR="005F602E" w:rsidRDefault="005F602E" w:rsidP="00E36BCE">
            <w:pPr>
              <w:spacing w:after="150"/>
              <w:jc w:val="both"/>
              <w:rPr>
                <w:rFonts w:eastAsia="Times New Roman" w:cs="Arial"/>
                <w:lang w:eastAsia="el-GR"/>
              </w:rPr>
            </w:pPr>
            <w:r>
              <w:rPr>
                <w:rFonts w:eastAsia="Times New Roman" w:cs="Arial"/>
                <w:lang w:eastAsia="el-GR"/>
              </w:rPr>
              <w:t>0-3.49</w:t>
            </w:r>
          </w:p>
        </w:tc>
      </w:tr>
    </w:tbl>
    <w:p w:rsidR="005F602E" w:rsidRDefault="005F602E" w:rsidP="00E36BCE">
      <w:pPr>
        <w:spacing w:after="150" w:line="240" w:lineRule="auto"/>
        <w:jc w:val="both"/>
        <w:rPr>
          <w:rFonts w:eastAsia="Times New Roman" w:cs="Arial"/>
          <w:lang w:eastAsia="el-GR"/>
        </w:rPr>
      </w:pPr>
    </w:p>
    <w:p w:rsidR="00E36BCE" w:rsidRPr="001039D4" w:rsidRDefault="00E36BCE" w:rsidP="00E36BCE">
      <w:pPr>
        <w:pStyle w:val="Web"/>
        <w:rPr>
          <w:rFonts w:asciiTheme="minorHAnsi" w:hAnsiTheme="minorHAnsi"/>
          <w:sz w:val="22"/>
          <w:szCs w:val="22"/>
        </w:rPr>
      </w:pPr>
      <w:r w:rsidRPr="001039D4">
        <w:rPr>
          <w:rFonts w:asciiTheme="minorHAnsi" w:hAnsiTheme="minorHAnsi" w:cs="Arial"/>
          <w:sz w:val="22"/>
          <w:szCs w:val="22"/>
        </w:rPr>
        <w:t>Σε περίπτωση που ο φοιτητής δεν ολοκληρώσει επιτυχώς το έργο του, το Ίδρυμα διατηρεί το δικαίωμα να ζητήσει επιστροφή μέρους ή του συνόλου του ποσού της υποτροφίας</w:t>
      </w:r>
    </w:p>
    <w:p w:rsidR="001039D4" w:rsidRPr="001039D4" w:rsidRDefault="00614C14" w:rsidP="00265779">
      <w:pPr>
        <w:pStyle w:val="Web"/>
        <w:jc w:val="both"/>
        <w:rPr>
          <w:rFonts w:asciiTheme="minorHAnsi" w:hAnsiTheme="minorHAnsi"/>
          <w:sz w:val="22"/>
          <w:szCs w:val="22"/>
        </w:rPr>
      </w:pPr>
      <w:r w:rsidRPr="001039D4">
        <w:rPr>
          <w:rFonts w:asciiTheme="minorHAnsi" w:hAnsiTheme="minorHAnsi"/>
          <w:sz w:val="22"/>
          <w:szCs w:val="22"/>
        </w:rPr>
        <w:t>- Η παροχή υποτροφίας δεν καλύπτει το σύνολο των εξόδων μετακίνησης, αλλά μόνο μέρος αυτών.</w:t>
      </w:r>
    </w:p>
    <w:p w:rsidR="00614C14" w:rsidRPr="001039D4" w:rsidRDefault="00614C14" w:rsidP="00265779">
      <w:pPr>
        <w:pStyle w:val="Web"/>
        <w:jc w:val="both"/>
        <w:rPr>
          <w:rFonts w:asciiTheme="minorHAnsi" w:hAnsiTheme="minorHAnsi"/>
          <w:sz w:val="22"/>
          <w:szCs w:val="22"/>
        </w:rPr>
      </w:pPr>
      <w:r w:rsidRPr="001039D4">
        <w:rPr>
          <w:rFonts w:asciiTheme="minorHAnsi" w:hAnsiTheme="minorHAnsi"/>
          <w:sz w:val="22"/>
          <w:szCs w:val="22"/>
        </w:rPr>
        <w:t xml:space="preserve">Στα ανωτέρω κριτήρια αξιολόγησης </w:t>
      </w:r>
      <w:r w:rsidR="00A24E66">
        <w:rPr>
          <w:rFonts w:asciiTheme="minorHAnsi" w:hAnsiTheme="minorHAnsi"/>
          <w:sz w:val="22"/>
          <w:szCs w:val="22"/>
        </w:rPr>
        <w:t>(σπουδές και πρακτική άσκηση)</w:t>
      </w:r>
      <w:r w:rsidR="003956AF">
        <w:rPr>
          <w:rFonts w:asciiTheme="minorHAnsi" w:hAnsiTheme="minorHAnsi"/>
          <w:sz w:val="22"/>
          <w:szCs w:val="22"/>
        </w:rPr>
        <w:t xml:space="preserve"> </w:t>
      </w:r>
      <w:r w:rsidRPr="001039D4">
        <w:rPr>
          <w:rFonts w:asciiTheme="minorHAnsi" w:hAnsiTheme="minorHAnsi"/>
          <w:sz w:val="22"/>
          <w:szCs w:val="22"/>
        </w:rPr>
        <w:t xml:space="preserve">δύναται να τεθεί </w:t>
      </w:r>
      <w:proofErr w:type="spellStart"/>
      <w:r w:rsidRPr="001039D4">
        <w:rPr>
          <w:rFonts w:asciiTheme="minorHAnsi" w:hAnsiTheme="minorHAnsi"/>
          <w:sz w:val="22"/>
          <w:szCs w:val="22"/>
        </w:rPr>
        <w:t>μοριοδότηση</w:t>
      </w:r>
      <w:proofErr w:type="spellEnd"/>
      <w:r w:rsidRPr="001039D4">
        <w:rPr>
          <w:rFonts w:asciiTheme="minorHAnsi" w:hAnsiTheme="minorHAnsi"/>
          <w:sz w:val="22"/>
          <w:szCs w:val="22"/>
        </w:rPr>
        <w:t>. Ενδεικτικά αναφέρουμε: ακαδημαϊκή επίδοση 50%, επίπεδο γλωσσομάθειας όπως ορίζεται στο Ίδρυμα υποδοχής/φορέα πρακτικής 30%, γενική γλωσσομάθεια 10%, λοιπά στοιχεία βιογραφικού σημειώματος 10% .</w:t>
      </w:r>
    </w:p>
    <w:p w:rsidR="00EE5E86" w:rsidRPr="001039D4" w:rsidRDefault="00EE5E86" w:rsidP="00EE5E86">
      <w:pPr>
        <w:autoSpaceDE w:val="0"/>
        <w:autoSpaceDN w:val="0"/>
        <w:adjustRightInd w:val="0"/>
        <w:spacing w:after="0" w:line="240" w:lineRule="auto"/>
        <w:rPr>
          <w:rFonts w:cs="ArialMT"/>
          <w:b/>
        </w:rPr>
      </w:pPr>
    </w:p>
    <w:p w:rsidR="00EE5E86" w:rsidRPr="001039D4" w:rsidRDefault="007D12C0" w:rsidP="00EE5E86">
      <w:pPr>
        <w:autoSpaceDE w:val="0"/>
        <w:autoSpaceDN w:val="0"/>
        <w:adjustRightInd w:val="0"/>
        <w:spacing w:after="0" w:line="240" w:lineRule="auto"/>
        <w:rPr>
          <w:rFonts w:cs="ArialMT"/>
          <w:b/>
        </w:rPr>
      </w:pPr>
      <w:r w:rsidRPr="001039D4">
        <w:rPr>
          <w:b/>
          <w:noProof/>
          <w:color w:val="FF0000"/>
          <w:lang w:eastAsia="el-GR"/>
        </w:rPr>
        <mc:AlternateContent>
          <mc:Choice Requires="wps">
            <w:drawing>
              <wp:anchor distT="0" distB="0" distL="114300" distR="114300" simplePos="0" relativeHeight="251667456" behindDoc="1" locked="0" layoutInCell="1" allowOverlap="1" wp14:anchorId="41B34DCE" wp14:editId="16BCB580">
                <wp:simplePos x="0" y="0"/>
                <wp:positionH relativeFrom="column">
                  <wp:posOffset>0</wp:posOffset>
                </wp:positionH>
                <wp:positionV relativeFrom="paragraph">
                  <wp:posOffset>-635</wp:posOffset>
                </wp:positionV>
                <wp:extent cx="5457825" cy="323850"/>
                <wp:effectExtent l="0" t="0" r="28575" b="19050"/>
                <wp:wrapNone/>
                <wp:docPr id="7" name="Ορθογώνιο 7"/>
                <wp:cNvGraphicFramePr/>
                <a:graphic xmlns:a="http://schemas.openxmlformats.org/drawingml/2006/main">
                  <a:graphicData uri="http://schemas.microsoft.com/office/word/2010/wordprocessingShape">
                    <wps:wsp>
                      <wps:cNvSpPr/>
                      <wps:spPr>
                        <a:xfrm>
                          <a:off x="0" y="0"/>
                          <a:ext cx="54578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12C0" w:rsidRDefault="007D12C0" w:rsidP="007D12C0">
                            <w:pPr>
                              <w:jc w:val="center"/>
                            </w:pPr>
                            <w:r w:rsidRPr="007D12C0">
                              <w:rPr>
                                <w:rFonts w:cs="ArialMT"/>
                                <w:b/>
                                <w:color w:val="002060"/>
                              </w:rPr>
                              <w:t xml:space="preserve">OΡΓΑΝΩΣΗ ΚΙΝΗΤΙΚΟΤΗΤΑΣ </w:t>
                            </w:r>
                            <w:r>
                              <w:rPr>
                                <w:rFonts w:cs="ArialMT"/>
                                <w:b/>
                                <w:color w:val="002060"/>
                              </w:rPr>
                              <w:t>ΠΡΟΣΩΠΙΚΟΥ ΓΙΑ ΔΙΔΑΣΚΑΛΙΑ &amp; ΕΠΙΜΟΡΦΩΣΗ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34DCE" id="Ορθογώνιο 7" o:spid="_x0000_s1026" style="position:absolute;margin-left:0;margin-top:-.05pt;width:429.75pt;height:25.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c8lgIAAE0FAAAOAAAAZHJzL2Uyb0RvYy54bWysVMFO3DAQvVfqP1i+l+wubKErsmgFoqqE&#10;ABUqzl7HJpFsj2t7N9ne+gP9hX5EL+2h4g/CL3XsZAMC1EPVHJwZz8wbz/OMD48archaOF+Byel4&#10;Z0SJMByKytzm9NP16ZsDSnxgpmAKjMjpRnh6NH/96rC2MzGBElQhHEEQ42e1zWkZgp1lmeel0Mzv&#10;gBUGjRKcZgFVd5sVjtWIrlU2GY3eZjW4wjrgwnvcPemMdJ7wpRQ8XEjpRSAqp3i2kFaX1mVcs/kh&#10;m906ZsuK98dg/3AKzSqDSQeoExYYWbnqGZSuuAMPMuxw0BlIWXGRasBqxqMn1VyVzIpUC5Lj7UCT&#10;/3+w/Hx96UhV5HSfEsM0XlH7/f5r+7O9a3/cf2t/t7/aO7Ifeaqtn6H7lb10veZRjEU30un4x3JI&#10;k7jdDNyKJhCOm9O96f7BZEoJR9vuZPdgmsjPHqKt8+G9AE2ikFOHd5coZeszHzAjum5dUImn6fIn&#10;KWyUiEdQ5qOQWA9mnKTo1EniWDmyZtgDjHNhwrgzlawQ3fZ0hF8sEpMMEUlLgBFZVkoN2D1A7NLn&#10;2B1M7x9DRWrEIXj0t4N1wUNEygwmDMG6MuBeAlBYVZ+589+S1FETWQrNskGXKC6h2ODFO+gmwlt+&#10;WiHtZ8yHS+ZwBHBYcKzDBS5SQZ1T6CVKSnBfXtqP/tiZaKWkxpHKqf+8Yk5Qoj4Y7Nl34729OINJ&#10;wXaYoOIeW5aPLWaljwFvbIwPiOVJjP5BbUXpQN/g9C9iVjQxwzF3TnlwW+U4dKOO7wcXi0Vyw7mz&#10;LJyZK8sjeCQ4ttV1c8Oc7XsvYNeew3b82OxJC3a+MdLAYhVAVqk/H3jtqceZTT3Uvy/xUXisJ6+H&#10;V3D+BwAA//8DAFBLAwQUAAYACAAAACEA3BuJ+NoAAAAFAQAADwAAAGRycy9kb3ducmV2LnhtbEyP&#10;zU7DMBCE70i8g7VI3FonSIE2jVOhSlyQOLTwANt4idP6J4qdJnl7lhMcRzOa+abaz86KGw2xC15B&#10;vs5AkG+C7nyr4OvzbbUBERN6jTZ4UrBQhH19f1dhqcPkj3Q7pVZwiY8lKjAp9aWUsTHkMK5DT569&#10;7zA4TCyHVuoBJy53Vj5l2bN02HleMNjTwVBzPY2OR5COS/4yHa4fZn7vyC4XGhelHh/m1x2IRHP6&#10;C8MvPqNDzUznMHodhVXAR5KCVQ6CzU2xLUCcFRTZFmRdyf/09Q8AAAD//wMAUEsBAi0AFAAGAAgA&#10;AAAhALaDOJL+AAAA4QEAABMAAAAAAAAAAAAAAAAAAAAAAFtDb250ZW50X1R5cGVzXS54bWxQSwEC&#10;LQAUAAYACAAAACEAOP0h/9YAAACUAQAACwAAAAAAAAAAAAAAAAAvAQAAX3JlbHMvLnJlbHNQSwEC&#10;LQAUAAYACAAAACEAEDOXPJYCAABNBQAADgAAAAAAAAAAAAAAAAAuAgAAZHJzL2Uyb0RvYy54bWxQ&#10;SwECLQAUAAYACAAAACEA3BuJ+NoAAAAFAQAADwAAAAAAAAAAAAAAAADwBAAAZHJzL2Rvd25yZXYu&#10;eG1sUEsFBgAAAAAEAAQA8wAAAPcFAAAAAA==&#10;" fillcolor="#5b9bd5 [3204]" strokecolor="#1f4d78 [1604]" strokeweight="1pt">
                <v:textbox>
                  <w:txbxContent>
                    <w:p w:rsidR="007D12C0" w:rsidRDefault="007D12C0" w:rsidP="007D12C0">
                      <w:pPr>
                        <w:jc w:val="center"/>
                      </w:pPr>
                      <w:r w:rsidRPr="007D12C0">
                        <w:rPr>
                          <w:rFonts w:cs="ArialMT"/>
                          <w:b/>
                          <w:color w:val="002060"/>
                        </w:rPr>
                        <w:t xml:space="preserve">OΡΓΑΝΩΣΗ ΚΙΝΗΤΙΚΟΤΗΤΑΣ </w:t>
                      </w:r>
                      <w:r>
                        <w:rPr>
                          <w:rFonts w:cs="ArialMT"/>
                          <w:b/>
                          <w:color w:val="002060"/>
                        </w:rPr>
                        <w:t>ΠΡΟΣΩΠΙΚΟΥ ΓΙΑ ΔΙΔΑΣΚΑΛΙΑ &amp; ΕΠΙΜΟΡΦΩΣΗ</w:t>
                      </w:r>
                    </w:p>
                  </w:txbxContent>
                </v:textbox>
              </v:rect>
            </w:pict>
          </mc:Fallback>
        </mc:AlternateContent>
      </w:r>
    </w:p>
    <w:p w:rsidR="007D12C0" w:rsidRPr="001039D4" w:rsidRDefault="007D12C0" w:rsidP="00EE5E86">
      <w:pPr>
        <w:autoSpaceDE w:val="0"/>
        <w:autoSpaceDN w:val="0"/>
        <w:adjustRightInd w:val="0"/>
        <w:spacing w:after="0" w:line="240" w:lineRule="auto"/>
        <w:rPr>
          <w:rFonts w:cs="ArialMT"/>
        </w:rPr>
      </w:pPr>
    </w:p>
    <w:p w:rsidR="009F71DD" w:rsidRPr="001039D4" w:rsidRDefault="00EE5E86" w:rsidP="0042098F">
      <w:pPr>
        <w:pStyle w:val="Web"/>
        <w:jc w:val="both"/>
        <w:rPr>
          <w:rFonts w:asciiTheme="minorHAnsi" w:hAnsiTheme="minorHAnsi"/>
          <w:sz w:val="22"/>
          <w:szCs w:val="22"/>
        </w:rPr>
      </w:pPr>
      <w:r w:rsidRPr="001039D4">
        <w:rPr>
          <w:rFonts w:asciiTheme="minorHAnsi" w:hAnsiTheme="minorHAnsi" w:cs="ArialMT"/>
          <w:sz w:val="22"/>
          <w:szCs w:val="22"/>
        </w:rPr>
        <w:t xml:space="preserve">Βασιζόμενοι στις ίδιες αρχές λειτουργίας του Προγράμματος, όπως αναφέρθηκαν και στο προηγούμενο πεδίο, οι ενδιαφερόμενοι καλούνται να υποβάλουν αίτηση μετά τη δημοσίευση σχετικής ανακοίνωσης. </w:t>
      </w:r>
      <w:r w:rsidR="009F71DD" w:rsidRPr="001039D4">
        <w:rPr>
          <w:rFonts w:asciiTheme="minorHAnsi" w:hAnsiTheme="minorHAnsi"/>
          <w:sz w:val="22"/>
          <w:szCs w:val="22"/>
        </w:rPr>
        <w:t>Η καταγραφή και αξιολόγηση των υποψηφίων πραγματοποιείται με αναφορά στις εξής προτεραιότητες:</w:t>
      </w:r>
    </w:p>
    <w:p w:rsidR="0042098F" w:rsidRPr="001039D4" w:rsidRDefault="0042098F" w:rsidP="0042098F">
      <w:pPr>
        <w:pStyle w:val="Web"/>
        <w:jc w:val="both"/>
        <w:rPr>
          <w:rFonts w:asciiTheme="minorHAnsi" w:hAnsiTheme="minorHAnsi"/>
          <w:b/>
          <w:sz w:val="22"/>
          <w:szCs w:val="22"/>
        </w:rPr>
      </w:pPr>
      <w:r w:rsidRPr="001039D4">
        <w:rPr>
          <w:rFonts w:asciiTheme="minorHAnsi" w:hAnsiTheme="minorHAnsi"/>
          <w:b/>
          <w:sz w:val="22"/>
          <w:szCs w:val="22"/>
        </w:rPr>
        <w:t>ΚΙΝΗΤΙΚΟΤΗΤΑ ΔΙΔΑΣΚΟΝΤΩΝ ΓΙΑ ΔΙΔΑΣΚΑΛΙΑ</w:t>
      </w:r>
    </w:p>
    <w:p w:rsidR="009F71DD" w:rsidRDefault="009F71DD" w:rsidP="00B00AA0">
      <w:pPr>
        <w:pStyle w:val="ListParagraph1"/>
        <w:numPr>
          <w:ilvl w:val="0"/>
          <w:numId w:val="5"/>
        </w:numPr>
        <w:jc w:val="both"/>
        <w:rPr>
          <w:rFonts w:asciiTheme="minorHAnsi" w:hAnsiTheme="minorHAnsi" w:cs="Tahoma"/>
          <w:sz w:val="22"/>
          <w:szCs w:val="22"/>
        </w:rPr>
      </w:pPr>
      <w:r w:rsidRPr="001039D4">
        <w:rPr>
          <w:rFonts w:asciiTheme="minorHAnsi" w:hAnsiTheme="minorHAnsi" w:cs="Tahoma"/>
          <w:sz w:val="22"/>
          <w:szCs w:val="22"/>
        </w:rPr>
        <w:t>Διδάσκοντες που μετακινούνται πρώτη φορά</w:t>
      </w:r>
    </w:p>
    <w:p w:rsidR="009F71DD" w:rsidRDefault="009F71DD" w:rsidP="00B00AA0">
      <w:pPr>
        <w:pStyle w:val="ListParagraph1"/>
        <w:numPr>
          <w:ilvl w:val="0"/>
          <w:numId w:val="5"/>
        </w:numPr>
        <w:jc w:val="both"/>
        <w:rPr>
          <w:rFonts w:asciiTheme="minorHAnsi" w:hAnsiTheme="minorHAnsi" w:cs="Tahoma"/>
          <w:sz w:val="22"/>
          <w:szCs w:val="22"/>
        </w:rPr>
      </w:pPr>
      <w:r w:rsidRPr="00B00AA0">
        <w:rPr>
          <w:rFonts w:asciiTheme="minorHAnsi" w:hAnsiTheme="minorHAnsi" w:cs="Tahoma"/>
          <w:sz w:val="22"/>
          <w:szCs w:val="22"/>
        </w:rPr>
        <w:t>Διδάσκοντες χαμηλότερης βαθμίδας</w:t>
      </w:r>
    </w:p>
    <w:p w:rsidR="009F71DD" w:rsidRPr="00B00AA0" w:rsidRDefault="009F71DD" w:rsidP="00B00AA0">
      <w:pPr>
        <w:pStyle w:val="ListParagraph1"/>
        <w:numPr>
          <w:ilvl w:val="0"/>
          <w:numId w:val="5"/>
        </w:numPr>
        <w:jc w:val="both"/>
        <w:rPr>
          <w:rFonts w:asciiTheme="minorHAnsi" w:hAnsiTheme="minorHAnsi" w:cs="Tahoma"/>
          <w:sz w:val="22"/>
          <w:szCs w:val="22"/>
        </w:rPr>
      </w:pPr>
      <w:r w:rsidRPr="00B00AA0">
        <w:rPr>
          <w:rFonts w:asciiTheme="minorHAnsi" w:hAnsiTheme="minorHAnsi" w:cs="Tahoma"/>
          <w:sz w:val="22"/>
          <w:szCs w:val="22"/>
        </w:rPr>
        <w:t xml:space="preserve">Διδάσκοντες οι οποίοι έχουν υποβάλει σχέδιο μαθήματος ή άλλη σχετική αλληλογραφία (π.χ. πρόσκληση του Ιδρύματος υποδοχής, επιστολή αποδοχής). </w:t>
      </w:r>
    </w:p>
    <w:p w:rsidR="0042098F" w:rsidRPr="001039D4" w:rsidRDefault="0042098F" w:rsidP="009F71DD">
      <w:pPr>
        <w:pStyle w:val="Web"/>
        <w:rPr>
          <w:rStyle w:val="a3"/>
          <w:rFonts w:asciiTheme="minorHAnsi" w:hAnsiTheme="minorHAnsi"/>
          <w:sz w:val="22"/>
          <w:szCs w:val="22"/>
        </w:rPr>
      </w:pPr>
      <w:r w:rsidRPr="001039D4">
        <w:rPr>
          <w:rStyle w:val="a3"/>
          <w:rFonts w:asciiTheme="minorHAnsi" w:hAnsiTheme="minorHAnsi"/>
          <w:sz w:val="22"/>
          <w:szCs w:val="22"/>
        </w:rPr>
        <w:t>ΚΙΝΗΤΙΚΟΤΗΤΑ ΠΡΟΣΩΠΙΚΟΥ ΓΙΑ ΕΠΙΜΟΡΦΩΣΗ</w:t>
      </w:r>
    </w:p>
    <w:p w:rsidR="009F71DD" w:rsidRPr="001039D4" w:rsidRDefault="0042098F" w:rsidP="0042098F">
      <w:pPr>
        <w:pStyle w:val="Web"/>
        <w:jc w:val="both"/>
        <w:rPr>
          <w:rFonts w:asciiTheme="minorHAnsi" w:hAnsiTheme="minorHAnsi"/>
          <w:b/>
          <w:sz w:val="22"/>
          <w:szCs w:val="22"/>
        </w:rPr>
      </w:pPr>
      <w:r w:rsidRPr="001039D4">
        <w:rPr>
          <w:rStyle w:val="a3"/>
          <w:rFonts w:asciiTheme="minorHAnsi" w:hAnsiTheme="minorHAnsi"/>
          <w:b w:val="0"/>
          <w:sz w:val="22"/>
          <w:szCs w:val="22"/>
        </w:rPr>
        <w:t xml:space="preserve">Με το σκεπτικό των ίσων ευκαιριών, επισημαίνεται ήδη στην ανακοίνωση ότι </w:t>
      </w:r>
      <w:r w:rsidR="009F71DD" w:rsidRPr="001039D4">
        <w:rPr>
          <w:rStyle w:val="a3"/>
          <w:rFonts w:asciiTheme="minorHAnsi" w:hAnsiTheme="minorHAnsi"/>
          <w:b w:val="0"/>
          <w:sz w:val="22"/>
          <w:szCs w:val="22"/>
        </w:rPr>
        <w:t>προτεραιότητα κατά την αξιολόγηση θα έχουν οι Διοικητικοί Υπάλληλοι, δεδομένου ότι οι Διδάσκοντες μπορούν να μετακινηθούν και μέσω της Δράσης «Μετακίνηση Διδασκόντων για Διδασκαλία».</w:t>
      </w:r>
    </w:p>
    <w:p w:rsidR="00D43363" w:rsidRDefault="006A65A4" w:rsidP="00244115">
      <w:pPr>
        <w:pStyle w:val="Web"/>
        <w:numPr>
          <w:ilvl w:val="0"/>
          <w:numId w:val="4"/>
        </w:numPr>
        <w:jc w:val="both"/>
        <w:rPr>
          <w:rFonts w:asciiTheme="minorHAnsi" w:hAnsiTheme="minorHAnsi"/>
          <w:sz w:val="22"/>
          <w:szCs w:val="22"/>
        </w:rPr>
      </w:pPr>
      <w:r w:rsidRPr="001039D4">
        <w:rPr>
          <w:rFonts w:asciiTheme="minorHAnsi" w:hAnsiTheme="minorHAnsi"/>
          <w:sz w:val="22"/>
          <w:szCs w:val="22"/>
        </w:rPr>
        <w:lastRenderedPageBreak/>
        <w:t xml:space="preserve">Αντικείμενο εργασίας: προηγείται το προσωπικό των Γραμματειών που έχει αναλάβει </w:t>
      </w:r>
      <w:r w:rsidR="00D43363">
        <w:rPr>
          <w:rFonts w:asciiTheme="minorHAnsi" w:hAnsiTheme="minorHAnsi"/>
          <w:sz w:val="22"/>
          <w:szCs w:val="22"/>
        </w:rPr>
        <w:t xml:space="preserve"> σ</w:t>
      </w:r>
      <w:r w:rsidRPr="001039D4">
        <w:rPr>
          <w:rFonts w:asciiTheme="minorHAnsi" w:hAnsiTheme="minorHAnsi"/>
          <w:sz w:val="22"/>
          <w:szCs w:val="22"/>
        </w:rPr>
        <w:t>χετικά με το Πρόγραμμα Erasmus και την εφαρμογή των ECTS καθήκοντα (διαπιστώνεται με βεβαίωση του Προϊσταμένου Γραμματείας).</w:t>
      </w:r>
    </w:p>
    <w:p w:rsidR="00D43363" w:rsidRDefault="00D43363" w:rsidP="00244115">
      <w:pPr>
        <w:pStyle w:val="Web"/>
        <w:numPr>
          <w:ilvl w:val="0"/>
          <w:numId w:val="4"/>
        </w:numPr>
        <w:jc w:val="both"/>
        <w:rPr>
          <w:rFonts w:asciiTheme="minorHAnsi" w:hAnsiTheme="minorHAnsi"/>
          <w:sz w:val="22"/>
          <w:szCs w:val="22"/>
        </w:rPr>
      </w:pPr>
      <w:r>
        <w:rPr>
          <w:rFonts w:asciiTheme="minorHAnsi" w:hAnsiTheme="minorHAnsi"/>
          <w:sz w:val="22"/>
          <w:szCs w:val="22"/>
        </w:rPr>
        <w:t xml:space="preserve">Πρώτη συμμετοχή στο Πρόγραμμα: </w:t>
      </w:r>
      <w:r w:rsidR="006A65A4" w:rsidRPr="001039D4">
        <w:rPr>
          <w:rFonts w:asciiTheme="minorHAnsi" w:hAnsiTheme="minorHAnsi"/>
          <w:sz w:val="22"/>
          <w:szCs w:val="22"/>
        </w:rPr>
        <w:t>προτεραιότητα σε όσους μετακινούνται για πρώτη φορά μέσω του Προγράμματος.</w:t>
      </w:r>
    </w:p>
    <w:p w:rsidR="006A65A4" w:rsidRPr="00D43363" w:rsidRDefault="006A65A4" w:rsidP="00244115">
      <w:pPr>
        <w:pStyle w:val="Web"/>
        <w:numPr>
          <w:ilvl w:val="0"/>
          <w:numId w:val="4"/>
        </w:numPr>
        <w:jc w:val="both"/>
        <w:rPr>
          <w:rFonts w:asciiTheme="minorHAnsi" w:hAnsiTheme="minorHAnsi"/>
          <w:sz w:val="22"/>
          <w:szCs w:val="22"/>
        </w:rPr>
      </w:pPr>
      <w:r w:rsidRPr="00D43363">
        <w:rPr>
          <w:rFonts w:asciiTheme="minorHAnsi" w:hAnsiTheme="minorHAnsi"/>
          <w:sz w:val="22"/>
          <w:szCs w:val="22"/>
        </w:rPr>
        <w:t>Επίπεδο γνώσης της γλώσσας στην οποία θα πραγματοποιηθεί η επιμόρφωση.</w:t>
      </w:r>
    </w:p>
    <w:p w:rsidR="006A65A4" w:rsidRPr="001039D4" w:rsidRDefault="00614C14" w:rsidP="003956AF">
      <w:pPr>
        <w:autoSpaceDE w:val="0"/>
        <w:autoSpaceDN w:val="0"/>
        <w:adjustRightInd w:val="0"/>
        <w:spacing w:after="0" w:line="240" w:lineRule="auto"/>
        <w:jc w:val="both"/>
        <w:rPr>
          <w:rFonts w:cs="ArialMT"/>
        </w:rPr>
      </w:pPr>
      <w:r w:rsidRPr="001039D4">
        <w:rPr>
          <w:rFonts w:cs="ArialMT"/>
        </w:rPr>
        <w:t xml:space="preserve">Οι ενδιαφερόμενοι ενημερώνονται με ευθύνη του Γραφείου Erasmus, το Σχέδιο Διδασκαλίας/Επιμόρφωσης υπογράφεται από τον Επιστημονικό Υπεύθυνο του Προγράμματος και οι συμβάσεις συντάσσονται με ευθύνη του Γραφείου Erasmus. </w:t>
      </w:r>
    </w:p>
    <w:p w:rsidR="006A65A4" w:rsidRPr="001039D4" w:rsidRDefault="006A65A4" w:rsidP="003956AF">
      <w:pPr>
        <w:autoSpaceDE w:val="0"/>
        <w:autoSpaceDN w:val="0"/>
        <w:adjustRightInd w:val="0"/>
        <w:spacing w:after="0" w:line="240" w:lineRule="auto"/>
        <w:jc w:val="both"/>
        <w:rPr>
          <w:rFonts w:cs="ArialMT"/>
        </w:rPr>
      </w:pPr>
    </w:p>
    <w:p w:rsidR="00614C14" w:rsidRPr="001039D4" w:rsidRDefault="00614C14" w:rsidP="003956AF">
      <w:pPr>
        <w:autoSpaceDE w:val="0"/>
        <w:autoSpaceDN w:val="0"/>
        <w:adjustRightInd w:val="0"/>
        <w:spacing w:after="0" w:line="240" w:lineRule="auto"/>
        <w:jc w:val="both"/>
        <w:rPr>
          <w:rFonts w:cs="ArialMT"/>
        </w:rPr>
      </w:pPr>
      <w:r w:rsidRPr="001039D4">
        <w:rPr>
          <w:rFonts w:cs="ArialMT"/>
        </w:rPr>
        <w:t xml:space="preserve">Η περίοδος κινητικότητας </w:t>
      </w:r>
      <w:r w:rsidR="00DF07BE" w:rsidRPr="001039D4">
        <w:rPr>
          <w:rFonts w:cs="ArialMT"/>
        </w:rPr>
        <w:t xml:space="preserve">για Διδασκαλία και Επιμόρφωση, </w:t>
      </w:r>
      <w:r w:rsidRPr="001039D4">
        <w:rPr>
          <w:rFonts w:cs="ArialMT"/>
        </w:rPr>
        <w:t xml:space="preserve">αναγνωρίζεται </w:t>
      </w:r>
      <w:r w:rsidR="00DF07BE" w:rsidRPr="001039D4">
        <w:rPr>
          <w:rFonts w:cs="ArialMT"/>
        </w:rPr>
        <w:t xml:space="preserve">θεσμικά </w:t>
      </w:r>
      <w:r w:rsidRPr="001039D4">
        <w:rPr>
          <w:rFonts w:cs="ArialMT"/>
        </w:rPr>
        <w:t xml:space="preserve">από το Ίδρυμα. </w:t>
      </w:r>
    </w:p>
    <w:p w:rsidR="002F6655" w:rsidRPr="001039D4" w:rsidRDefault="002F6655" w:rsidP="00EE5E86">
      <w:pPr>
        <w:autoSpaceDE w:val="0"/>
        <w:autoSpaceDN w:val="0"/>
        <w:adjustRightInd w:val="0"/>
        <w:spacing w:after="0" w:line="240" w:lineRule="auto"/>
        <w:rPr>
          <w:rFonts w:eastAsia="Times New Roman" w:cs="Times New Roman"/>
          <w:lang w:eastAsia="el-GR"/>
        </w:rPr>
      </w:pPr>
    </w:p>
    <w:p w:rsidR="002F6655" w:rsidRPr="001039D4" w:rsidRDefault="002F6655" w:rsidP="00EE5E86">
      <w:pPr>
        <w:autoSpaceDE w:val="0"/>
        <w:autoSpaceDN w:val="0"/>
        <w:adjustRightInd w:val="0"/>
        <w:spacing w:after="0" w:line="240" w:lineRule="auto"/>
        <w:rPr>
          <w:rFonts w:eastAsia="Times New Roman" w:cs="Times New Roman"/>
          <w:lang w:eastAsia="el-GR"/>
        </w:rPr>
      </w:pPr>
    </w:p>
    <w:p w:rsidR="00EE5E86" w:rsidRPr="001039D4" w:rsidRDefault="00EE5E86" w:rsidP="002E6AAD">
      <w:pPr>
        <w:autoSpaceDE w:val="0"/>
        <w:autoSpaceDN w:val="0"/>
        <w:adjustRightInd w:val="0"/>
        <w:spacing w:after="0" w:line="240" w:lineRule="auto"/>
        <w:jc w:val="both"/>
        <w:rPr>
          <w:rFonts w:cs="ArialMT"/>
          <w:b/>
        </w:rPr>
      </w:pPr>
      <w:r w:rsidRPr="001039D4">
        <w:rPr>
          <w:rFonts w:cs="ArialMT"/>
          <w:b/>
          <w:lang w:val="en-US"/>
        </w:rPr>
        <w:t>EI</w:t>
      </w:r>
      <w:r w:rsidRPr="001039D4">
        <w:rPr>
          <w:rFonts w:cs="ArialMT"/>
          <w:b/>
        </w:rPr>
        <w:t>ΣΕΡΧΟΜΕΝΗ ΚΙΝΗΤΙΚΟΤΗΤΑ</w:t>
      </w:r>
    </w:p>
    <w:p w:rsidR="001039D4" w:rsidRPr="001039D4" w:rsidRDefault="001039D4" w:rsidP="002E6AAD">
      <w:pPr>
        <w:autoSpaceDE w:val="0"/>
        <w:autoSpaceDN w:val="0"/>
        <w:adjustRightInd w:val="0"/>
        <w:spacing w:after="0" w:line="240" w:lineRule="auto"/>
        <w:jc w:val="both"/>
        <w:rPr>
          <w:rFonts w:cs="ArialMT"/>
        </w:rPr>
      </w:pPr>
    </w:p>
    <w:p w:rsidR="00EE5E86" w:rsidRPr="001039D4" w:rsidRDefault="00EE5E86" w:rsidP="002E6AAD">
      <w:pPr>
        <w:autoSpaceDE w:val="0"/>
        <w:autoSpaceDN w:val="0"/>
        <w:adjustRightInd w:val="0"/>
        <w:spacing w:after="0" w:line="240" w:lineRule="auto"/>
        <w:jc w:val="both"/>
        <w:rPr>
          <w:rFonts w:cs="ArialMT"/>
        </w:rPr>
      </w:pPr>
      <w:r w:rsidRPr="001039D4">
        <w:rPr>
          <w:rFonts w:cs="ArialMT"/>
        </w:rPr>
        <w:t xml:space="preserve">Οι εισερχόμενοι φοιτητές έχουν πρόσβαση σε γενικές πληροφορίες που αφορούν σε πρακτικά και ακαδημαϊκά θέματα. Επιδιώκεται η τακτική </w:t>
      </w:r>
      <w:proofErr w:type="spellStart"/>
      <w:r w:rsidRPr="001039D4">
        <w:rPr>
          <w:rFonts w:cs="ArialMT"/>
        </w:rPr>
        <w:t>επικαιροποίηση</w:t>
      </w:r>
      <w:proofErr w:type="spellEnd"/>
      <w:r w:rsidRPr="001039D4">
        <w:rPr>
          <w:rFonts w:cs="ArialMT"/>
        </w:rPr>
        <w:t xml:space="preserve"> των πληροφοριών που αφορούν στα προγράμματα σπουδών, εφαρμόζεται το "</w:t>
      </w:r>
      <w:proofErr w:type="spellStart"/>
      <w:r w:rsidRPr="002650D5">
        <w:rPr>
          <w:rFonts w:cs="ArialMT"/>
          <w:i/>
        </w:rPr>
        <w:t>Buddy</w:t>
      </w:r>
      <w:proofErr w:type="spellEnd"/>
      <w:r w:rsidRPr="002650D5">
        <w:rPr>
          <w:rFonts w:cs="ArialMT"/>
          <w:i/>
        </w:rPr>
        <w:t xml:space="preserve"> </w:t>
      </w:r>
      <w:proofErr w:type="spellStart"/>
      <w:r w:rsidRPr="002650D5">
        <w:rPr>
          <w:rFonts w:cs="ArialMT"/>
          <w:i/>
        </w:rPr>
        <w:t>System</w:t>
      </w:r>
      <w:proofErr w:type="spellEnd"/>
      <w:r w:rsidRPr="001039D4">
        <w:rPr>
          <w:rFonts w:cs="ArialMT"/>
        </w:rPr>
        <w:t xml:space="preserve">" και παρέχεται άμεσα απάντηση σε </w:t>
      </w:r>
      <w:r w:rsidR="002650D5">
        <w:rPr>
          <w:rFonts w:cs="ArialMT"/>
        </w:rPr>
        <w:t>ερωτήματα</w:t>
      </w:r>
      <w:r w:rsidRPr="001039D4">
        <w:rPr>
          <w:rFonts w:cs="ArialMT"/>
        </w:rPr>
        <w:t xml:space="preserve"> πρακτικής φύσεως. Για ακαδημαϊκά θέματα (προγράμματα σπουδών, μαθησιακά αποτελέσματα) αναπτύσσεται δίαυλος επικοινωνίας μεταξύ φοιτητών και Ακαδημαϊκών Συντονιστών.</w:t>
      </w:r>
    </w:p>
    <w:p w:rsidR="00EE5E86" w:rsidRPr="001039D4" w:rsidRDefault="00EE5E86" w:rsidP="002E6AAD">
      <w:pPr>
        <w:autoSpaceDE w:val="0"/>
        <w:autoSpaceDN w:val="0"/>
        <w:adjustRightInd w:val="0"/>
        <w:spacing w:after="0" w:line="240" w:lineRule="auto"/>
        <w:jc w:val="both"/>
        <w:rPr>
          <w:rFonts w:cs="ArialMT"/>
        </w:rPr>
      </w:pPr>
    </w:p>
    <w:p w:rsidR="00EE5E86" w:rsidRPr="001039D4" w:rsidRDefault="00BA01AF" w:rsidP="002E6AAD">
      <w:pPr>
        <w:autoSpaceDE w:val="0"/>
        <w:autoSpaceDN w:val="0"/>
        <w:adjustRightInd w:val="0"/>
        <w:spacing w:after="0" w:line="240" w:lineRule="auto"/>
        <w:jc w:val="both"/>
        <w:rPr>
          <w:rFonts w:cs="ArialMT"/>
        </w:rPr>
      </w:pPr>
      <w:r w:rsidRPr="001039D4">
        <w:rPr>
          <w:rFonts w:cs="ArialMT"/>
        </w:rPr>
        <w:t xml:space="preserve">Στόχος μας είναι </w:t>
      </w:r>
      <w:r w:rsidR="00EE5E86" w:rsidRPr="001039D4">
        <w:rPr>
          <w:rFonts w:cs="ArialMT"/>
        </w:rPr>
        <w:t xml:space="preserve">η ομαλή ένταξη των </w:t>
      </w:r>
      <w:r w:rsidRPr="001039D4">
        <w:rPr>
          <w:rFonts w:cs="ArialMT"/>
        </w:rPr>
        <w:t xml:space="preserve">εισερχομένων </w:t>
      </w:r>
      <w:r w:rsidR="00EE5E86" w:rsidRPr="001039D4">
        <w:rPr>
          <w:rFonts w:cs="ArialMT"/>
        </w:rPr>
        <w:t>φοιτητών στα νέα</w:t>
      </w:r>
      <w:r w:rsidRPr="001039D4">
        <w:rPr>
          <w:rFonts w:cs="ArialMT"/>
        </w:rPr>
        <w:t xml:space="preserve"> </w:t>
      </w:r>
      <w:r w:rsidR="00EE5E86" w:rsidRPr="001039D4">
        <w:rPr>
          <w:rFonts w:cs="ArialMT"/>
        </w:rPr>
        <w:t xml:space="preserve">ακαδημαϊκά και κοινωνικά δεδομένα. Θεωρώντας ότι η διευθέτηση της διαμονής </w:t>
      </w:r>
      <w:r w:rsidRPr="001039D4">
        <w:rPr>
          <w:rFonts w:cs="ArialMT"/>
        </w:rPr>
        <w:t xml:space="preserve">τους </w:t>
      </w:r>
      <w:r w:rsidR="00EE5E86" w:rsidRPr="001039D4">
        <w:rPr>
          <w:rFonts w:cs="ArialMT"/>
        </w:rPr>
        <w:t>αποτελεί βασική προϋπόθεση, το Πανεπιστήμιο Πελοποννήσου διευκολύνει την</w:t>
      </w:r>
      <w:r w:rsidRPr="001039D4">
        <w:rPr>
          <w:rFonts w:cs="ArialMT"/>
        </w:rPr>
        <w:t xml:space="preserve"> </w:t>
      </w:r>
      <w:r w:rsidR="00EE5E86" w:rsidRPr="001039D4">
        <w:rPr>
          <w:rFonts w:cs="ArialMT"/>
        </w:rPr>
        <w:t xml:space="preserve">αναζήτηση στέγασης, διερευνώντας τις </w:t>
      </w:r>
      <w:proofErr w:type="spellStart"/>
      <w:r w:rsidR="00EE5E86" w:rsidRPr="001039D4">
        <w:rPr>
          <w:rFonts w:cs="ArialMT"/>
        </w:rPr>
        <w:t>συμφερότερες</w:t>
      </w:r>
      <w:proofErr w:type="spellEnd"/>
      <w:r w:rsidR="00EE5E86" w:rsidRPr="001039D4">
        <w:rPr>
          <w:rFonts w:cs="ArialMT"/>
        </w:rPr>
        <w:t xml:space="preserve"> τιμές στα ξενοδοχεία των</w:t>
      </w:r>
      <w:r w:rsidRPr="001039D4">
        <w:rPr>
          <w:rFonts w:cs="ArialMT"/>
        </w:rPr>
        <w:t xml:space="preserve"> </w:t>
      </w:r>
      <w:r w:rsidR="00EE5E86" w:rsidRPr="001039D4">
        <w:rPr>
          <w:rFonts w:cs="ArialMT"/>
        </w:rPr>
        <w:t>πόλεων που εδρεύουν τα Τμήματα.</w:t>
      </w:r>
    </w:p>
    <w:p w:rsidR="002E6AAD" w:rsidRPr="001039D4" w:rsidRDefault="002E6AAD" w:rsidP="00EE5E86">
      <w:pPr>
        <w:autoSpaceDE w:val="0"/>
        <w:autoSpaceDN w:val="0"/>
        <w:adjustRightInd w:val="0"/>
        <w:spacing w:after="0" w:line="240" w:lineRule="auto"/>
        <w:rPr>
          <w:rFonts w:cs="ArialMT"/>
          <w:color w:val="002060"/>
        </w:rPr>
      </w:pPr>
    </w:p>
    <w:p w:rsidR="00EE5E86" w:rsidRPr="001039D4" w:rsidRDefault="00EE5E86" w:rsidP="00081E90">
      <w:pPr>
        <w:jc w:val="both"/>
      </w:pPr>
    </w:p>
    <w:p w:rsidR="00EE5E86" w:rsidRPr="001039D4" w:rsidRDefault="00EE5E86" w:rsidP="00081E90">
      <w:pPr>
        <w:jc w:val="both"/>
      </w:pPr>
    </w:p>
    <w:p w:rsidR="00265779" w:rsidRPr="001039D4" w:rsidRDefault="00265779" w:rsidP="00081E90">
      <w:pPr>
        <w:jc w:val="both"/>
      </w:pPr>
    </w:p>
    <w:p w:rsidR="00265779" w:rsidRPr="001039D4" w:rsidRDefault="00265779" w:rsidP="00081E90">
      <w:pPr>
        <w:jc w:val="both"/>
      </w:pPr>
    </w:p>
    <w:p w:rsidR="00265779" w:rsidRPr="001039D4" w:rsidRDefault="00265779" w:rsidP="00081E90">
      <w:pPr>
        <w:jc w:val="both"/>
      </w:pPr>
    </w:p>
    <w:p w:rsidR="00265779" w:rsidRPr="001039D4" w:rsidRDefault="00265779" w:rsidP="00081E90">
      <w:pPr>
        <w:jc w:val="both"/>
      </w:pPr>
    </w:p>
    <w:p w:rsidR="00265779" w:rsidRPr="001039D4" w:rsidRDefault="00265779" w:rsidP="00081E90">
      <w:pPr>
        <w:jc w:val="both"/>
      </w:pPr>
    </w:p>
    <w:p w:rsidR="00265779" w:rsidRPr="001039D4" w:rsidRDefault="00265779" w:rsidP="00081E90">
      <w:pPr>
        <w:jc w:val="both"/>
      </w:pPr>
    </w:p>
    <w:p w:rsidR="00081E90" w:rsidRPr="001039D4" w:rsidRDefault="00081E90" w:rsidP="00081E90">
      <w:pPr>
        <w:rPr>
          <w:b/>
          <w:u w:val="single"/>
        </w:rPr>
      </w:pPr>
    </w:p>
    <w:p w:rsidR="007A4119" w:rsidRPr="001039D4" w:rsidRDefault="00614C14" w:rsidP="00EE5E86">
      <w:pPr>
        <w:spacing w:after="150" w:line="240" w:lineRule="auto"/>
        <w:jc w:val="center"/>
        <w:rPr>
          <w:rFonts w:eastAsia="Times New Roman" w:cs="Arial"/>
          <w:lang w:eastAsia="el-GR"/>
        </w:rPr>
      </w:pPr>
      <w:r w:rsidRPr="001039D4">
        <w:rPr>
          <w:b/>
          <w:noProof/>
          <w:color w:val="FF0000"/>
          <w:lang w:eastAsia="el-GR"/>
        </w:rPr>
        <w:lastRenderedPageBreak/>
        <mc:AlternateContent>
          <mc:Choice Requires="wps">
            <w:drawing>
              <wp:anchor distT="0" distB="0" distL="114300" distR="114300" simplePos="0" relativeHeight="251663360" behindDoc="1" locked="0" layoutInCell="1" allowOverlap="1" wp14:anchorId="0A5ED575" wp14:editId="732FB2DB">
                <wp:simplePos x="0" y="0"/>
                <wp:positionH relativeFrom="column">
                  <wp:posOffset>0</wp:posOffset>
                </wp:positionH>
                <wp:positionV relativeFrom="paragraph">
                  <wp:posOffset>0</wp:posOffset>
                </wp:positionV>
                <wp:extent cx="5457825" cy="323850"/>
                <wp:effectExtent l="0" t="0" r="28575" b="19050"/>
                <wp:wrapNone/>
                <wp:docPr id="5" name="Ορθογώνιο 5"/>
                <wp:cNvGraphicFramePr/>
                <a:graphic xmlns:a="http://schemas.openxmlformats.org/drawingml/2006/main">
                  <a:graphicData uri="http://schemas.microsoft.com/office/word/2010/wordprocessingShape">
                    <wps:wsp>
                      <wps:cNvSpPr/>
                      <wps:spPr>
                        <a:xfrm>
                          <a:off x="0" y="0"/>
                          <a:ext cx="54578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9D433" id="Ορθογώνιο 5" o:spid="_x0000_s1026" style="position:absolute;margin-left:0;margin-top:0;width:429.75pt;height:2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fwkAIAAEIFAAAOAAAAZHJzL2Uyb0RvYy54bWysVMFuEzEQvSPxD5bvdJO0gRJ1U0WtipCq&#10;UtGinl2v3V3J6zFjJ5tw4wf4BT6CCxxQ/2D7S4y9m23VVhwQOTgez8wbz9s3Pjhc14atFPoKbM7H&#10;OyPOlJVQVPYm558uT17tc+aDsIUwYFXON8rzw/nLFweNm6kJlGAKhYxArJ81LudlCG6WZV6WqhZ+&#10;B5yy5NSAtQhk4k1WoGgIvTbZZDR6nTWAhUOQyns6Pe6cfJ7wtVYyfNDaq8BMzuluIa2Y1uu4ZvMD&#10;MbtB4cpK9tcQ/3CLWlSWig5QxyIItsTqCVRdSQQPOuxIqDPQupIq9UDdjEePurkohVOpFyLHu4Em&#10;//9g5dnqHFlV5HzKmRU1faL2+93X9md72/64+9b+bn+1t2waeWqcn1H4hTvH3vK0jU2vNdbxn9ph&#10;68TtZuBWrQOTdDjdm77Zn1ARSb7dye7+NJGf3Wc79OGdgprFTc6Rvl2iVKxOfaCKFLoNISPepquf&#10;dmFjVLyCsR+Vpn6o4iRlJyWpI4NsJUgDQkplw7hzlaJQ3fF0RL/YJBUZMpKVACOyrowZsHuAqNKn&#10;2B1MHx9TVRLikDz628W65CEjVQYbhuS6soDPARjqqq/cxW9J6qiJLF1DsaGvjdCNgXfypCKuT4UP&#10;5wJJ9zQhNMvhAy3aQJNz6HeclYBfnjuP8SRH8nLW0Bzl3H9eClScmfeWhPp2vLcXBy8ZpIEJGfjQ&#10;c/3QY5f1EdBnGtOr4WTaxvhgtluNUF/RyC9iVXIJK6l2zmXArXEUuvmmR0OqxSKF0bA5EU7thZMR&#10;PLIatXS5vhLoesEFkuoZbGdOzB7prouNmRYWywC6SqK857XnmwY1Cad/VOJL8NBOUfdP3/wPAAAA&#10;//8DAFBLAwQUAAYACAAAACEAy1FjxNkAAAAEAQAADwAAAGRycy9kb3ducmV2LnhtbEyPwU7DMBBE&#10;70j8g7VI3KgTpEAJcSpUiQtSDy39gG28xKH2OoqdJvl7XC5wGWk1q5k31WZ2VlxoCJ1nBfkqA0Hc&#10;eN1xq+D4+f6wBhEiskbrmRQsFGBT395UWGo/8Z4uh9iKFMKhRAUmxr6UMjSGHIaV74mT9+UHhzGd&#10;Qyv1gFMKd1Y+ZtmTdNhxajDY09ZQcz6MLpUg7Zf8edqed2b+6Mgu3zQuSt3fzW+vICLN8e8ZrvgJ&#10;HerEdPIj6yCsgjQk/mry1sVLAeKkoMgzkHUl/8PXPwAAAP//AwBQSwECLQAUAAYACAAAACEAtoM4&#10;kv4AAADhAQAAEwAAAAAAAAAAAAAAAAAAAAAAW0NvbnRlbnRfVHlwZXNdLnhtbFBLAQItABQABgAI&#10;AAAAIQA4/SH/1gAAAJQBAAALAAAAAAAAAAAAAAAAAC8BAABfcmVscy8ucmVsc1BLAQItABQABgAI&#10;AAAAIQC3pafwkAIAAEIFAAAOAAAAAAAAAAAAAAAAAC4CAABkcnMvZTJvRG9jLnhtbFBLAQItABQA&#10;BgAIAAAAIQDLUWPE2QAAAAQBAAAPAAAAAAAAAAAAAAAAAOoEAABkcnMvZG93bnJldi54bWxQSwUG&#10;AAAAAAQABADzAAAA8AUAAAAA&#10;" fillcolor="#5b9bd5 [3204]" strokecolor="#1f4d78 [1604]" strokeweight="1pt"/>
            </w:pict>
          </mc:Fallback>
        </mc:AlternateContent>
      </w:r>
      <w:r w:rsidR="007A4119" w:rsidRPr="001039D4">
        <w:rPr>
          <w:rFonts w:eastAsia="Times New Roman" w:cs="Arial"/>
          <w:b/>
          <w:bCs/>
          <w:u w:val="single"/>
          <w:lang w:eastAsia="el-GR"/>
        </w:rPr>
        <w:t>ΠΟΛΙΤΙΚΗ ΑΝΑΓΝΩΡΙΣΗΣ ΠΙΣΤΩΤΙΚΩΝ ΜΟΝΑΔΩΝ (ECTS)</w:t>
      </w:r>
      <w:r w:rsidR="007A4119" w:rsidRPr="001039D4">
        <w:rPr>
          <w:rFonts w:eastAsia="Times New Roman" w:cs="Arial"/>
          <w:lang w:eastAsia="el-GR"/>
        </w:rPr>
        <w:br/>
      </w:r>
    </w:p>
    <w:p w:rsidR="007A4119" w:rsidRPr="001039D4" w:rsidRDefault="007A4119" w:rsidP="00DF05FE">
      <w:pPr>
        <w:spacing w:after="150" w:line="240" w:lineRule="auto"/>
        <w:jc w:val="center"/>
        <w:rPr>
          <w:rFonts w:eastAsia="Times New Roman" w:cs="Arial"/>
          <w:b/>
          <w:lang w:eastAsia="el-GR"/>
        </w:rPr>
      </w:pPr>
      <w:r w:rsidRPr="001039D4">
        <w:rPr>
          <w:rFonts w:eastAsia="Times New Roman" w:cs="Arial"/>
          <w:b/>
          <w:i/>
          <w:lang w:eastAsia="el-GR"/>
        </w:rPr>
        <w:t>Διαθέσιμη στο</w:t>
      </w:r>
      <w:r w:rsidRPr="001039D4">
        <w:rPr>
          <w:rFonts w:eastAsia="Times New Roman" w:cs="Arial"/>
          <w:b/>
          <w:lang w:eastAsia="el-GR"/>
        </w:rPr>
        <w:t xml:space="preserve"> </w:t>
      </w:r>
      <w:hyperlink r:id="rId9" w:history="1">
        <w:r w:rsidRPr="001039D4">
          <w:rPr>
            <w:rStyle w:val="-"/>
            <w:rFonts w:eastAsia="Times New Roman" w:cs="Arial"/>
            <w:b/>
            <w:color w:val="0070C0"/>
            <w:lang w:val="en-US" w:eastAsia="el-GR"/>
          </w:rPr>
          <w:t>http</w:t>
        </w:r>
        <w:r w:rsidRPr="001039D4">
          <w:rPr>
            <w:rStyle w:val="-"/>
            <w:rFonts w:eastAsia="Times New Roman" w:cs="Arial"/>
            <w:b/>
            <w:color w:val="0070C0"/>
            <w:lang w:eastAsia="el-GR"/>
          </w:rPr>
          <w:t>://</w:t>
        </w:r>
        <w:r w:rsidRPr="001039D4">
          <w:rPr>
            <w:rStyle w:val="-"/>
            <w:rFonts w:eastAsia="Times New Roman" w:cs="Arial"/>
            <w:b/>
            <w:color w:val="0070C0"/>
            <w:lang w:val="en-US" w:eastAsia="el-GR"/>
          </w:rPr>
          <w:t>erasmus</w:t>
        </w:r>
        <w:r w:rsidRPr="001039D4">
          <w:rPr>
            <w:rStyle w:val="-"/>
            <w:rFonts w:eastAsia="Times New Roman" w:cs="Arial"/>
            <w:b/>
            <w:color w:val="0070C0"/>
            <w:lang w:eastAsia="el-GR"/>
          </w:rPr>
          <w:t>.</w:t>
        </w:r>
        <w:proofErr w:type="spellStart"/>
        <w:r w:rsidRPr="001039D4">
          <w:rPr>
            <w:rStyle w:val="-"/>
            <w:rFonts w:eastAsia="Times New Roman" w:cs="Arial"/>
            <w:b/>
            <w:color w:val="0070C0"/>
            <w:lang w:val="en-US" w:eastAsia="el-GR"/>
          </w:rPr>
          <w:t>uop</w:t>
        </w:r>
        <w:proofErr w:type="spellEnd"/>
        <w:r w:rsidRPr="001039D4">
          <w:rPr>
            <w:rStyle w:val="-"/>
            <w:rFonts w:eastAsia="Times New Roman" w:cs="Arial"/>
            <w:b/>
            <w:color w:val="0070C0"/>
            <w:lang w:eastAsia="el-GR"/>
          </w:rPr>
          <w:t>.</w:t>
        </w:r>
        <w:r w:rsidRPr="001039D4">
          <w:rPr>
            <w:rStyle w:val="-"/>
            <w:rFonts w:eastAsia="Times New Roman" w:cs="Arial"/>
            <w:b/>
            <w:color w:val="0070C0"/>
            <w:lang w:val="en-US" w:eastAsia="el-GR"/>
          </w:rPr>
          <w:t>gr</w:t>
        </w:r>
        <w:r w:rsidRPr="001039D4">
          <w:rPr>
            <w:rStyle w:val="-"/>
            <w:rFonts w:eastAsia="Times New Roman" w:cs="Arial"/>
            <w:b/>
            <w:color w:val="0070C0"/>
            <w:lang w:eastAsia="el-GR"/>
          </w:rPr>
          <w:t>/</w:t>
        </w:r>
        <w:r w:rsidRPr="001039D4">
          <w:rPr>
            <w:rStyle w:val="-"/>
            <w:rFonts w:eastAsia="Times New Roman" w:cs="Arial"/>
            <w:b/>
            <w:color w:val="0070C0"/>
            <w:lang w:val="en-US" w:eastAsia="el-GR"/>
          </w:rPr>
          <w:t>index</w:t>
        </w:r>
        <w:r w:rsidRPr="001039D4">
          <w:rPr>
            <w:rStyle w:val="-"/>
            <w:rFonts w:eastAsia="Times New Roman" w:cs="Arial"/>
            <w:b/>
            <w:color w:val="0070C0"/>
            <w:lang w:eastAsia="el-GR"/>
          </w:rPr>
          <w:t>.</w:t>
        </w:r>
        <w:proofErr w:type="spellStart"/>
        <w:r w:rsidRPr="001039D4">
          <w:rPr>
            <w:rStyle w:val="-"/>
            <w:rFonts w:eastAsia="Times New Roman" w:cs="Arial"/>
            <w:b/>
            <w:color w:val="0070C0"/>
            <w:lang w:val="en-US" w:eastAsia="el-GR"/>
          </w:rPr>
          <w:t>php</w:t>
        </w:r>
        <w:proofErr w:type="spellEnd"/>
        <w:r w:rsidRPr="001039D4">
          <w:rPr>
            <w:rStyle w:val="-"/>
            <w:rFonts w:eastAsia="Times New Roman" w:cs="Arial"/>
            <w:b/>
            <w:color w:val="0070C0"/>
            <w:lang w:eastAsia="el-GR"/>
          </w:rPr>
          <w:t>/-----</w:t>
        </w:r>
        <w:proofErr w:type="spellStart"/>
        <w:r w:rsidRPr="001039D4">
          <w:rPr>
            <w:rStyle w:val="-"/>
            <w:rFonts w:eastAsia="Times New Roman" w:cs="Arial"/>
            <w:b/>
            <w:color w:val="0070C0"/>
            <w:lang w:val="en-US" w:eastAsia="el-GR"/>
          </w:rPr>
          <w:t>ects</w:t>
        </w:r>
        <w:proofErr w:type="spellEnd"/>
      </w:hyperlink>
      <w:r w:rsidRPr="001039D4">
        <w:rPr>
          <w:rFonts w:eastAsia="Times New Roman" w:cs="Arial"/>
          <w:b/>
          <w:color w:val="0070C0"/>
          <w:lang w:eastAsia="el-GR"/>
        </w:rPr>
        <w:t xml:space="preserve"> </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val="en-US" w:eastAsia="el-GR"/>
        </w:rPr>
        <w:t> </w:t>
      </w:r>
      <w:r w:rsidRPr="001039D4">
        <w:rPr>
          <w:rFonts w:eastAsia="Times New Roman" w:cs="Arial"/>
          <w:lang w:eastAsia="el-GR"/>
        </w:rPr>
        <w:t>Σύμφωνα με τον Οδηγό για τους Χρήστες του ECTS:</w:t>
      </w:r>
    </w:p>
    <w:p w:rsidR="007A4119" w:rsidRPr="001039D4" w:rsidRDefault="007A4119" w:rsidP="00F33CFB">
      <w:pPr>
        <w:spacing w:after="150" w:line="240" w:lineRule="auto"/>
        <w:rPr>
          <w:rFonts w:eastAsia="Times New Roman" w:cs="Arial"/>
          <w:lang w:eastAsia="el-GR"/>
        </w:rPr>
      </w:pPr>
      <w:r w:rsidRPr="001039D4">
        <w:rPr>
          <w:rFonts w:eastAsia="Times New Roman" w:cs="Arial"/>
          <w:lang w:eastAsia="el-GR"/>
        </w:rPr>
        <w:t>• 60 ECTS κατανέμονται σε φόρτο εργασίας εν</w:t>
      </w:r>
      <w:r w:rsidR="00F33CFB" w:rsidRPr="001039D4">
        <w:rPr>
          <w:rFonts w:eastAsia="Times New Roman" w:cs="Arial"/>
          <w:lang w:eastAsia="el-GR"/>
        </w:rPr>
        <w:t>ός ακαδημαϊκού έτους φοίτησης</w:t>
      </w:r>
      <w:r w:rsidR="00F33CFB" w:rsidRPr="001039D4">
        <w:rPr>
          <w:rFonts w:eastAsia="Times New Roman" w:cs="Arial"/>
          <w:lang w:eastAsia="el-GR"/>
        </w:rPr>
        <w:br/>
        <w:t xml:space="preserve">• </w:t>
      </w:r>
      <w:r w:rsidRPr="001039D4">
        <w:rPr>
          <w:rFonts w:eastAsia="Times New Roman" w:cs="Arial"/>
          <w:lang w:eastAsia="el-GR"/>
        </w:rPr>
        <w:t>30 ΕCTS κατανέμονται σε ένα εξάμηνο</w:t>
      </w:r>
      <w:r w:rsidRPr="001039D4">
        <w:rPr>
          <w:rFonts w:eastAsia="Times New Roman" w:cs="Arial"/>
          <w:lang w:eastAsia="el-GR"/>
        </w:rPr>
        <w:br/>
        <w:t>• 20 ECTS σε ένα τρίμηνο</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xml:space="preserve"> Η αναγνώριση των πιστωτικών μονάδων είναι η διαδικασία μέσω της οποίας ένα Ίδρυμα πιστοποιεί ότι μερικά από τα μαθησιακά αποτελέσματα που έχουν επιτευχθεί και αξιολογηθεί σε κάποιο άλλο Ίδρυμα, πληρούν ορισμένες προϋποθέσεις ενός εκ των </w:t>
      </w:r>
      <w:proofErr w:type="spellStart"/>
      <w:r w:rsidRPr="001039D4">
        <w:rPr>
          <w:rFonts w:eastAsia="Times New Roman" w:cs="Arial"/>
          <w:lang w:eastAsia="el-GR"/>
        </w:rPr>
        <w:t>προσφερομένων</w:t>
      </w:r>
      <w:proofErr w:type="spellEnd"/>
      <w:r w:rsidRPr="001039D4">
        <w:rPr>
          <w:rFonts w:eastAsia="Times New Roman" w:cs="Arial"/>
          <w:lang w:eastAsia="el-GR"/>
        </w:rPr>
        <w:t xml:space="preserve"> προγραμμάτων.</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Αναγνώριση σημαίνει ότι ο αριθμός των πιστωτικών μονάδων που αποκτώνται με την επίτευξη των κατάλληλων μαθησιακών αποτελεσμάτων, στο κατάλληλο επίπεδο, σε κάποιο άλλο πλαίσιο σπουδών, θα αντικαταστήσει τον αριθμό των πιστωτικών μονάδων που απονέμονται για τα ίδια μαθησιακά αποτελέσματα στο Ίδρυμα που χορηγεί τον τίτλο.</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Με αυτή τη λογική, εφόσον στην Συμφωνία Μάθησης για 6 μήνες έχουν συμφωνηθεί τα 30 ECTS, αυτά θα πρέπει να αναγνωριστούν από το Ίδρυμα Προέλευσης, εφόσον ο φοιτητής ολοκλήρωσε επιτυχώς την περίοδο των σπουδών του στο Ίδρυμα Υποδοχής. Αντίστοιχες είναι οι απαιτήσεις για την χορήγηση 20 ECTS και 60 ECTS.</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Δεδομένης της ποικιλίας των προγραμμάτων και των Ιδρυμάτων Ανώτατης Εκπαίδευσης οι πιστωτικές μονάδες και τα μαθησιακά αποτελέσματα μιας εκπαιδευτικής ενότητας σε διαφορετικά προγράμματα, δεν είναι ταυτόσημα. Επομένως, καλό είναι να ακολουθείται μια ευέλικτη προσέγγιση για την αναγνώριση των πιστωτικών μονάδων που λαμβάνονται σε κάποιο άλλο πλαίσιο.</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Πρέπει να αναζητείται μια «δίκαιη αναγνώριση» αντί της τέλειας αντιστοιχίας. Αυτού του είδους η «δίκαιη αναγνώριση» θα πρέπει να βασίζεται στα μαθησιακά αποτελέσματα - δηλαδή, τι γνωρίζει και μπορεί να κάνει κάποια άτομο- και όχι στις τυπικές διαδικασίες που οδηγούν στην ολοκλήρωση ενός τίτλου σπουδών ή της εκπαιδευτικής ενότητας.</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Για παράδειγμα, στην πράξη, μια εκπαιδευτική ενότητα (π.χ. ένα μάθημα) 4 πιστωτικών μονάδων ECTS σε ένα άλλο Ίδρυμα, μπορεί να αντικαταστήσει μια συνιστώσα 5 πιστωτικών μονάδων ECTS σε ένα άλλο Ίδρυμα εάν τα μαθησιακά αποτελέσματα είναι ισοδύναμα. Στον φοιτητή θα απονεμηθούν τότε 5 πιστωτικές μονάδες ECTS.</w:t>
      </w:r>
    </w:p>
    <w:p w:rsidR="007A4119" w:rsidRPr="001039D4" w:rsidRDefault="007A4119" w:rsidP="007A4119">
      <w:pPr>
        <w:spacing w:after="150" w:line="240" w:lineRule="auto"/>
        <w:jc w:val="both"/>
        <w:rPr>
          <w:rFonts w:eastAsia="Times New Roman" w:cs="Arial"/>
          <w:lang w:eastAsia="el-GR"/>
        </w:rPr>
      </w:pPr>
      <w:proofErr w:type="spellStart"/>
      <w:r w:rsidRPr="001039D4">
        <w:rPr>
          <w:rFonts w:eastAsia="Times New Roman" w:cs="Arial"/>
          <w:lang w:eastAsia="el-GR"/>
        </w:rPr>
        <w:t>Eπίσης</w:t>
      </w:r>
      <w:proofErr w:type="spellEnd"/>
      <w:r w:rsidRPr="001039D4">
        <w:rPr>
          <w:rFonts w:eastAsia="Times New Roman" w:cs="Arial"/>
          <w:lang w:eastAsia="el-GR"/>
        </w:rPr>
        <w:t>, ένα μάθημα του Ιδρύματός υποδοχής, δύναται να αντιστοιχηθεί με δύο μαθήματα στο Ίδρυμα προέλευσης από τη στιγμή που ο Ακαδημαϊκός Συντονιστής αξιολογήσει τα μαθησιακά αποτελέσματα.</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Ο φοιτητής ζητεί αλλά δεν διαπραγματεύεται την ακαδημαϊκή αναγνώριση από τον διδάσκοντα κάθε μαθήματος χωριστά. Η Συμφωνία Σπουδών μαζί με το Πιστοποιητικό Αναλυτικής Βαθμολογίας είναι σχεδιασμένα να διασφαλίζουν την πλήρη αναγνώριση του προγράμματος σπουδών που παρακολουθείται στο Ίδρυμα Υποδοχής.</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lastRenderedPageBreak/>
        <w:t xml:space="preserve"> ΣΗΜΑΝΤΙΚΟ: η Συμφωνία Μάθησης υπογράφεται πριν την αναχώρηση του Φοιτητή και έτσι ο </w:t>
      </w:r>
      <w:r w:rsidR="00651B87" w:rsidRPr="001039D4">
        <w:rPr>
          <w:rFonts w:eastAsia="Times New Roman" w:cs="Arial"/>
          <w:lang w:eastAsia="el-GR"/>
        </w:rPr>
        <w:t>φ</w:t>
      </w:r>
      <w:r w:rsidRPr="001039D4">
        <w:rPr>
          <w:rFonts w:eastAsia="Times New Roman" w:cs="Arial"/>
          <w:lang w:eastAsia="el-GR"/>
        </w:rPr>
        <w:t>οιτητής γνωρίζει εκ των προτέρων ότι τα μαθήματα που θα πάρει στο εξωτερικό, θα αναγνωριστούν πλήρως, μετά από επιτυχή ολοκλήρωσή τους.</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xml:space="preserve"> Σε περίπτωση όπου ο </w:t>
      </w:r>
      <w:r w:rsidR="00651B87" w:rsidRPr="001039D4">
        <w:rPr>
          <w:rFonts w:eastAsia="Times New Roman" w:cs="Arial"/>
          <w:lang w:eastAsia="el-GR"/>
        </w:rPr>
        <w:t>φ</w:t>
      </w:r>
      <w:r w:rsidRPr="001039D4">
        <w:rPr>
          <w:rFonts w:eastAsia="Times New Roman" w:cs="Arial"/>
          <w:lang w:eastAsia="el-GR"/>
        </w:rPr>
        <w:t xml:space="preserve">οιτητής για συγκεκριμένους λόγους (όπως αναφέρονται στη Μαθησιακή Συμφωνία) αναγκαστεί να κάνει αλλαγές στο πρόγραμμα της Συμφωνίας Μάθησης, αυτές θα πρέπει να γίνουν το συντομότερο δυνατόν, σε διάστημα ενός μήνα από την έναρξη των σπουδών, και να εγκριθούν από το Ίδρυμα Προέλευσης ώστε να έχει ο </w:t>
      </w:r>
      <w:r w:rsidR="00651B87" w:rsidRPr="001039D4">
        <w:rPr>
          <w:rFonts w:eastAsia="Times New Roman" w:cs="Arial"/>
          <w:lang w:eastAsia="el-GR"/>
        </w:rPr>
        <w:t>φ</w:t>
      </w:r>
      <w:r w:rsidRPr="001039D4">
        <w:rPr>
          <w:rFonts w:eastAsia="Times New Roman" w:cs="Arial"/>
          <w:lang w:eastAsia="el-GR"/>
        </w:rPr>
        <w:t>οιτητής την εγγύηση ότι θα λάβει πλήρη αναγνώριση αυτών, μετά την επιτυχή ολοκλήρωσή τους.</w:t>
      </w:r>
    </w:p>
    <w:p w:rsidR="00C67EC5"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Εάν ο φοιτητής επιλέξει να παρακολουθήσει ένα μάθημα, το οποίο δεν εντάσσεται στο Πρόγραμμα Σπουδών του και δεν επιθυμεί να υπολογιστεί για την απόκτηση του τίτλου σπουδών του, αυτό θα αναγραφεί στο 6.1 του Παραρτήματος Διπλώματος. Βάσει του Οδηγού ΕCTS «Οι πιστωτικές μονάδες που απονέμονται στη συνεχή εκπαίδευση μπορούν ή όχι να αναγνωρίζονται και να συσσωρεύονται για την απόκτηση κάποιου τίτλου σπουδών/προσόντος, ανάλογα με την επιθυμία του εκπαιδευόμενου και /ή τις προϋποθέσεις για την απονομή κάποιου τίτλου σπουδών/προσόντος. Ορισμένοι εκπαιδευόμενοι μπορεί να ενδιαφέρονται μόνο για την παρακολούθηση κάποιας συγκεκριμένης εκπαιδευτικής συνιστώσας χωρίς να επιθυμούν να αποκτήσουν τον τίτλο σπουδών.»</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Οι Μαθησιακές Συμφωνίες προβλέπουν την παρακολούθηση ακαδημαϊκών ενοτήτων που αντιστοιχούν στο σύνολο των ECTS του εκάστοτε προγράμματος που επιλέγει ο φοιτητής (20, 30 ή 60 ECTS). Δεν γίνεται μετακίνηση για λιγότερα από τα προβλεπόμενα ECTS.</w:t>
      </w:r>
    </w:p>
    <w:p w:rsidR="007A4119" w:rsidRPr="001039D4" w:rsidRDefault="007A4119" w:rsidP="007A4119">
      <w:pPr>
        <w:spacing w:after="150" w:line="240" w:lineRule="auto"/>
        <w:jc w:val="both"/>
        <w:rPr>
          <w:rFonts w:eastAsia="Times New Roman" w:cs="Arial"/>
          <w:lang w:eastAsia="el-GR"/>
        </w:rPr>
      </w:pPr>
      <w:r w:rsidRPr="001039D4">
        <w:rPr>
          <w:rFonts w:eastAsia="Times New Roman" w:cs="Arial"/>
          <w:lang w:eastAsia="el-GR"/>
        </w:rPr>
        <w:t> Αποδεκτή θεωρείται η μετακίνηση όταν ο φοιτητής έχει εξεταστεί σε μαθήματα ισοδύναμα τουλάχιστον με το ήμισυ των ECTS (π.χ. 15 ECTS όταν προβλέπεται σύνολο 30 ECTS για εξάμηνη μετακίνηση) τα οποία δηλώνονται στη Συμφωνία Σπουδών. Σε διαφορετική περίπτωση, το Ίδρυμα διατηρεί το δικαίωμα να ζητήσει επιστροφή μέρους ή του συνόλου του ποσού της υποτροφίας. Η συμπλήρωση λιγότερων των προβλεπόμενων ECTS από τον μετακινηθέντα φοιτητή αξιολογούνται περαιτέρω από το Τμήμα προέλευσής του και το Ίδρυμα. </w:t>
      </w:r>
      <w:r w:rsidRPr="001039D4">
        <w:rPr>
          <w:rFonts w:eastAsia="Times New Roman" w:cs="Arial"/>
          <w:lang w:eastAsia="el-GR"/>
        </w:rPr>
        <w:br/>
      </w:r>
      <w:r w:rsidRPr="001039D4">
        <w:rPr>
          <w:rFonts w:eastAsia="Times New Roman" w:cs="Arial"/>
          <w:lang w:eastAsia="el-GR"/>
        </w:rPr>
        <w:br/>
        <w:t>Τα αποτελέσματα της ακαδημαϊκής επίδοσης των φοιτητών που μετακινούνται για σπουδές αξιολογούνται βάσει της αναλυτικής βαθμολογίας που θα προσκομίσουν μετά τη λήξη της μετακίνησής τους.</w:t>
      </w:r>
    </w:p>
    <w:p w:rsidR="006A06C0" w:rsidRDefault="007A4119" w:rsidP="006A06C0">
      <w:pPr>
        <w:spacing w:after="150" w:line="240" w:lineRule="auto"/>
        <w:jc w:val="both"/>
        <w:rPr>
          <w:rFonts w:eastAsia="Times New Roman" w:cs="Arial"/>
          <w:lang w:eastAsia="el-GR"/>
        </w:rPr>
      </w:pPr>
      <w:r w:rsidRPr="001039D4">
        <w:rPr>
          <w:rFonts w:eastAsia="Times New Roman" w:cs="Arial"/>
          <w:lang w:eastAsia="el-GR"/>
        </w:rPr>
        <w:t> </w:t>
      </w:r>
      <w:r w:rsidR="006A06C0" w:rsidRPr="001039D4">
        <w:rPr>
          <w:rFonts w:eastAsia="Times New Roman" w:cs="Arial"/>
          <w:lang w:eastAsia="el-GR"/>
        </w:rPr>
        <w:t>Τα αποτελέσματα της ακαδημαϊκής επίδοσης των φοιτητών που μετακινούνται για πρακτική άσκηση αξιολογούνται βάσει της βεβαίωσης ολοκλήρωσης του έργου στην οποία περιλαμβάνεται και η κλίμακα αξιολόγησης, ως εξής:</w:t>
      </w:r>
    </w:p>
    <w:p w:rsidR="006A06C0" w:rsidRDefault="006A06C0" w:rsidP="006A06C0">
      <w:pPr>
        <w:spacing w:after="150" w:line="240" w:lineRule="auto"/>
        <w:jc w:val="both"/>
        <w:rPr>
          <w:rFonts w:eastAsia="Times New Roman" w:cs="Arial"/>
          <w:lang w:eastAsia="el-GR"/>
        </w:rPr>
      </w:pPr>
    </w:p>
    <w:p w:rsidR="006A06C0" w:rsidRDefault="006A06C0" w:rsidP="006A06C0">
      <w:pPr>
        <w:spacing w:after="150" w:line="240" w:lineRule="auto"/>
        <w:jc w:val="both"/>
        <w:rPr>
          <w:rFonts w:eastAsia="Times New Roman" w:cs="Arial"/>
          <w:lang w:eastAsia="el-GR"/>
        </w:rPr>
      </w:pPr>
    </w:p>
    <w:p w:rsidR="006A06C0" w:rsidRDefault="006A06C0" w:rsidP="006A06C0">
      <w:pPr>
        <w:spacing w:after="150" w:line="240" w:lineRule="auto"/>
        <w:jc w:val="both"/>
        <w:rPr>
          <w:rFonts w:eastAsia="Times New Roman" w:cs="Arial"/>
          <w:lang w:eastAsia="el-GR"/>
        </w:rPr>
      </w:pPr>
    </w:p>
    <w:tbl>
      <w:tblPr>
        <w:tblStyle w:val="a8"/>
        <w:tblW w:w="0" w:type="auto"/>
        <w:tblLook w:val="04A0" w:firstRow="1" w:lastRow="0" w:firstColumn="1" w:lastColumn="0" w:noHBand="0" w:noVBand="1"/>
      </w:tblPr>
      <w:tblGrid>
        <w:gridCol w:w="2074"/>
        <w:gridCol w:w="2074"/>
        <w:gridCol w:w="2074"/>
        <w:gridCol w:w="2074"/>
      </w:tblGrid>
      <w:tr w:rsidR="006A06C0" w:rsidTr="008E2926">
        <w:trPr>
          <w:trHeight w:val="1304"/>
        </w:trPr>
        <w:tc>
          <w:tcPr>
            <w:tcW w:w="2074" w:type="dxa"/>
          </w:tcPr>
          <w:p w:rsidR="006A06C0" w:rsidRDefault="006A06C0" w:rsidP="008E2926">
            <w:pPr>
              <w:spacing w:after="150"/>
              <w:jc w:val="both"/>
              <w:rPr>
                <w:rFonts w:eastAsia="Times New Roman" w:cs="Arial"/>
                <w:lang w:eastAsia="el-GR"/>
              </w:rPr>
            </w:pPr>
          </w:p>
        </w:tc>
        <w:tc>
          <w:tcPr>
            <w:tcW w:w="2074" w:type="dxa"/>
          </w:tcPr>
          <w:p w:rsidR="006A06C0" w:rsidRDefault="006A06C0" w:rsidP="008E2926">
            <w:pPr>
              <w:spacing w:after="150"/>
              <w:jc w:val="center"/>
              <w:rPr>
                <w:rFonts w:eastAsia="Times New Roman" w:cs="Arial"/>
                <w:lang w:eastAsia="el-GR"/>
              </w:rPr>
            </w:pPr>
            <w:r>
              <w:rPr>
                <w:rFonts w:eastAsia="Times New Roman" w:cs="Arial"/>
                <w:lang w:eastAsia="el-GR"/>
              </w:rPr>
              <w:t>Ποσοστό φοιτητών που συνήθως αξιολογούνται με αυτό το βαθμό</w:t>
            </w:r>
          </w:p>
          <w:p w:rsidR="006A06C0" w:rsidRDefault="006A06C0" w:rsidP="008E2926">
            <w:pPr>
              <w:spacing w:after="150"/>
              <w:jc w:val="center"/>
              <w:rPr>
                <w:rFonts w:eastAsia="Times New Roman" w:cs="Arial"/>
                <w:lang w:eastAsia="el-GR"/>
              </w:rPr>
            </w:pPr>
            <w:r>
              <w:rPr>
                <w:rFonts w:eastAsia="Times New Roman" w:cs="Arial"/>
                <w:lang w:eastAsia="el-GR"/>
              </w:rPr>
              <w:t>%</w:t>
            </w:r>
          </w:p>
        </w:tc>
        <w:tc>
          <w:tcPr>
            <w:tcW w:w="2074" w:type="dxa"/>
          </w:tcPr>
          <w:p w:rsidR="006A06C0" w:rsidRDefault="006A06C0" w:rsidP="008E2926">
            <w:pPr>
              <w:spacing w:after="150"/>
              <w:jc w:val="center"/>
              <w:rPr>
                <w:rFonts w:eastAsia="Times New Roman" w:cs="Arial"/>
                <w:lang w:eastAsia="el-GR"/>
              </w:rPr>
            </w:pPr>
            <w:r>
              <w:rPr>
                <w:rFonts w:eastAsia="Times New Roman" w:cs="Arial"/>
                <w:lang w:eastAsia="el-GR"/>
              </w:rPr>
              <w:t>Ορισμός</w:t>
            </w:r>
          </w:p>
        </w:tc>
        <w:tc>
          <w:tcPr>
            <w:tcW w:w="2074" w:type="dxa"/>
          </w:tcPr>
          <w:p w:rsidR="006A06C0" w:rsidRDefault="006A06C0" w:rsidP="008E2926">
            <w:pPr>
              <w:spacing w:after="150"/>
              <w:jc w:val="center"/>
              <w:rPr>
                <w:rFonts w:eastAsia="Times New Roman" w:cs="Arial"/>
                <w:lang w:eastAsia="el-GR"/>
              </w:rPr>
            </w:pPr>
            <w:r>
              <w:rPr>
                <w:rFonts w:eastAsia="Times New Roman" w:cs="Arial"/>
                <w:lang w:eastAsia="el-GR"/>
              </w:rPr>
              <w:t>Περιοχή βαθμολογίας</w:t>
            </w:r>
          </w:p>
        </w:tc>
      </w:tr>
      <w:tr w:rsidR="006A06C0" w:rsidTr="008E2926">
        <w:trPr>
          <w:trHeight w:val="978"/>
        </w:trPr>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A</w:t>
            </w:r>
          </w:p>
        </w:tc>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10</w:t>
            </w:r>
          </w:p>
        </w:tc>
        <w:tc>
          <w:tcPr>
            <w:tcW w:w="2074" w:type="dxa"/>
          </w:tcPr>
          <w:p w:rsidR="006A06C0" w:rsidRPr="005F602E" w:rsidRDefault="006A06C0" w:rsidP="008E2926">
            <w:pPr>
              <w:spacing w:after="150"/>
              <w:rPr>
                <w:rFonts w:eastAsia="Times New Roman" w:cs="Arial"/>
                <w:lang w:eastAsia="el-GR"/>
              </w:rPr>
            </w:pPr>
            <w:r>
              <w:rPr>
                <w:rFonts w:eastAsia="Times New Roman" w:cs="Arial"/>
                <w:lang w:eastAsia="el-GR"/>
              </w:rPr>
              <w:t>Άριστα-άριστο αποτέλεσμα με επουσιώδεις ελλείψεις</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9-10</w:t>
            </w:r>
          </w:p>
        </w:tc>
      </w:tr>
      <w:tr w:rsidR="006A06C0" w:rsidTr="008E2926">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B</w:t>
            </w:r>
          </w:p>
        </w:tc>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25</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Πολύ καλά-άνω του μετρίου, με ορισμένες ελλείψεις</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8-8.99</w:t>
            </w:r>
          </w:p>
        </w:tc>
      </w:tr>
      <w:tr w:rsidR="006A06C0" w:rsidTr="008E2926">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C</w:t>
            </w:r>
          </w:p>
        </w:tc>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30</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Καλά-καλή εργασία με ορισμένες σημαντικές ελλείψεις</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7-7.99</w:t>
            </w:r>
          </w:p>
        </w:tc>
      </w:tr>
      <w:tr w:rsidR="006A06C0" w:rsidTr="008E2926">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D</w:t>
            </w:r>
          </w:p>
        </w:tc>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25</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Αρκετά καλά-αποδεκτό επίπεδο εργασίας, αλλά με σοβαρές ελλείψεις</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6-6.99</w:t>
            </w:r>
          </w:p>
        </w:tc>
      </w:tr>
      <w:tr w:rsidR="006A06C0" w:rsidTr="008E2926">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E</w:t>
            </w:r>
          </w:p>
        </w:tc>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10</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Ικανοποιητικά-η εργασία πληροί τα ελάχιστα κριτήρια</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5-5.99</w:t>
            </w:r>
          </w:p>
        </w:tc>
      </w:tr>
      <w:tr w:rsidR="006A06C0" w:rsidTr="008E2926">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FX</w:t>
            </w:r>
          </w:p>
        </w:tc>
        <w:tc>
          <w:tcPr>
            <w:tcW w:w="2074" w:type="dxa"/>
          </w:tcPr>
          <w:p w:rsidR="006A06C0" w:rsidRPr="005F602E" w:rsidRDefault="006A06C0" w:rsidP="008E2926">
            <w:pPr>
              <w:spacing w:after="150"/>
              <w:jc w:val="center"/>
              <w:rPr>
                <w:rFonts w:eastAsia="Times New Roman" w:cs="Arial"/>
                <w:lang w:val="en-US" w:eastAsia="el-GR"/>
              </w:rPr>
            </w:pPr>
            <w:r>
              <w:rPr>
                <w:rFonts w:eastAsia="Times New Roman" w:cs="Arial"/>
                <w:lang w:val="en-US" w:eastAsia="el-GR"/>
              </w:rPr>
              <w:t>-</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Αποτυχία-απαιτείται μεγαλύτερη προσπάθεια για την επιτυχή ολοκλήρωση και την απονομή πιστωτικών μονάδων</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3.5-4.99</w:t>
            </w:r>
          </w:p>
        </w:tc>
      </w:tr>
      <w:tr w:rsidR="006A06C0" w:rsidTr="008E2926">
        <w:tc>
          <w:tcPr>
            <w:tcW w:w="2074" w:type="dxa"/>
          </w:tcPr>
          <w:p w:rsidR="006A06C0" w:rsidRPr="005F602E" w:rsidRDefault="006A06C0" w:rsidP="008E2926">
            <w:pPr>
              <w:spacing w:after="150"/>
              <w:jc w:val="both"/>
              <w:rPr>
                <w:rFonts w:eastAsia="Times New Roman" w:cs="Arial"/>
                <w:lang w:val="en-US" w:eastAsia="el-GR"/>
              </w:rPr>
            </w:pPr>
            <w:r>
              <w:rPr>
                <w:rFonts w:eastAsia="Times New Roman" w:cs="Arial"/>
                <w:lang w:val="en-US" w:eastAsia="el-GR"/>
              </w:rPr>
              <w:t>F</w:t>
            </w:r>
          </w:p>
        </w:tc>
        <w:tc>
          <w:tcPr>
            <w:tcW w:w="2074" w:type="dxa"/>
          </w:tcPr>
          <w:p w:rsidR="006A06C0" w:rsidRPr="005F602E" w:rsidRDefault="006A06C0" w:rsidP="008E2926">
            <w:pPr>
              <w:spacing w:after="150"/>
              <w:jc w:val="both"/>
              <w:rPr>
                <w:rFonts w:eastAsia="Times New Roman" w:cs="Arial"/>
                <w:lang w:val="en-US" w:eastAsia="el-GR"/>
              </w:rPr>
            </w:pPr>
            <w:r>
              <w:rPr>
                <w:rFonts w:eastAsia="Times New Roman" w:cs="Arial"/>
                <w:lang w:val="en-US" w:eastAsia="el-GR"/>
              </w:rPr>
              <w:t>-</w:t>
            </w:r>
          </w:p>
        </w:tc>
        <w:tc>
          <w:tcPr>
            <w:tcW w:w="2074" w:type="dxa"/>
          </w:tcPr>
          <w:p w:rsidR="006A06C0" w:rsidRDefault="006A06C0" w:rsidP="008E2926">
            <w:pPr>
              <w:spacing w:after="150"/>
              <w:rPr>
                <w:rFonts w:eastAsia="Times New Roman" w:cs="Arial"/>
                <w:lang w:eastAsia="el-GR"/>
              </w:rPr>
            </w:pPr>
            <w:r>
              <w:rPr>
                <w:rFonts w:eastAsia="Times New Roman" w:cs="Arial"/>
                <w:lang w:eastAsia="el-GR"/>
              </w:rPr>
              <w:t>Αποτυχία-απαιτείται πολύ μεγαλύτερη προσπάθεια</w:t>
            </w:r>
          </w:p>
        </w:tc>
        <w:tc>
          <w:tcPr>
            <w:tcW w:w="2074" w:type="dxa"/>
          </w:tcPr>
          <w:p w:rsidR="006A06C0" w:rsidRDefault="006A06C0" w:rsidP="008E2926">
            <w:pPr>
              <w:spacing w:after="150"/>
              <w:jc w:val="both"/>
              <w:rPr>
                <w:rFonts w:eastAsia="Times New Roman" w:cs="Arial"/>
                <w:lang w:eastAsia="el-GR"/>
              </w:rPr>
            </w:pPr>
            <w:r>
              <w:rPr>
                <w:rFonts w:eastAsia="Times New Roman" w:cs="Arial"/>
                <w:lang w:eastAsia="el-GR"/>
              </w:rPr>
              <w:t>0-3.49</w:t>
            </w:r>
          </w:p>
        </w:tc>
      </w:tr>
    </w:tbl>
    <w:p w:rsidR="006A06C0" w:rsidRPr="001039D4" w:rsidRDefault="006A06C0" w:rsidP="006A06C0">
      <w:pPr>
        <w:pStyle w:val="Web"/>
        <w:rPr>
          <w:rFonts w:asciiTheme="minorHAnsi" w:hAnsiTheme="minorHAnsi"/>
          <w:sz w:val="22"/>
          <w:szCs w:val="22"/>
        </w:rPr>
      </w:pPr>
      <w:r w:rsidRPr="001039D4">
        <w:rPr>
          <w:rFonts w:asciiTheme="minorHAnsi" w:hAnsiTheme="minorHAnsi" w:cs="Arial"/>
          <w:sz w:val="22"/>
          <w:szCs w:val="22"/>
        </w:rPr>
        <w:t>Σε περίπτωση που ο φοιτητής δεν ολοκληρώσει επιτυχώς το έργο του, το Ίδρυμα διατηρεί το δικαίωμα να ζητήσει επιστροφή μέρους ή του συνόλου του ποσού της υποτροφίας</w:t>
      </w:r>
    </w:p>
    <w:p w:rsidR="00DF05FE" w:rsidRPr="001039D4" w:rsidRDefault="00DF05FE" w:rsidP="006A06C0">
      <w:pPr>
        <w:spacing w:after="150" w:line="240" w:lineRule="auto"/>
        <w:jc w:val="both"/>
        <w:rPr>
          <w:rFonts w:cs="ArialMT"/>
          <w:b/>
        </w:rPr>
      </w:pPr>
    </w:p>
    <w:p w:rsidR="00DF05FE" w:rsidRPr="001039D4" w:rsidRDefault="006A06C0" w:rsidP="00DF05FE">
      <w:pPr>
        <w:autoSpaceDE w:val="0"/>
        <w:autoSpaceDN w:val="0"/>
        <w:adjustRightInd w:val="0"/>
        <w:spacing w:after="0" w:line="240" w:lineRule="auto"/>
        <w:rPr>
          <w:rFonts w:cs="ArialMT"/>
          <w:b/>
        </w:rPr>
      </w:pPr>
      <w:r w:rsidRPr="001039D4">
        <w:rPr>
          <w:b/>
          <w:noProof/>
          <w:color w:val="FF0000"/>
          <w:lang w:eastAsia="el-GR"/>
        </w:rPr>
        <mc:AlternateContent>
          <mc:Choice Requires="wps">
            <w:drawing>
              <wp:anchor distT="0" distB="0" distL="114300" distR="114300" simplePos="0" relativeHeight="251669504" behindDoc="1" locked="0" layoutInCell="1" allowOverlap="1" wp14:anchorId="046A15BB" wp14:editId="74D05144">
                <wp:simplePos x="0" y="0"/>
                <wp:positionH relativeFrom="column">
                  <wp:posOffset>-123825</wp:posOffset>
                </wp:positionH>
                <wp:positionV relativeFrom="paragraph">
                  <wp:posOffset>65405</wp:posOffset>
                </wp:positionV>
                <wp:extent cx="5457825" cy="323850"/>
                <wp:effectExtent l="0" t="0" r="28575" b="19050"/>
                <wp:wrapNone/>
                <wp:docPr id="8" name="Ορθογώνιο 8"/>
                <wp:cNvGraphicFramePr/>
                <a:graphic xmlns:a="http://schemas.openxmlformats.org/drawingml/2006/main">
                  <a:graphicData uri="http://schemas.microsoft.com/office/word/2010/wordprocessingShape">
                    <wps:wsp>
                      <wps:cNvSpPr/>
                      <wps:spPr>
                        <a:xfrm>
                          <a:off x="0" y="0"/>
                          <a:ext cx="54578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CF31F" id="Ορθογώνιο 8" o:spid="_x0000_s1026" style="position:absolute;margin-left:-9.75pt;margin-top:5.15pt;width:429.75pt;height:25.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LzkAIAAEIFAAAOAAAAZHJzL2Uyb0RvYy54bWysVM1OGzEQvlfqO1i+l00CadMoGxSBqCoh&#10;QIWKs/Ha7Er+69jJJr31BfoKPEQv7aHiDZZX6ti7WSJAPVTNwfHszHzj+fyNZ4drrchKgK+syelw&#10;b0CJMNwWlbnN6eerkzcTSnxgpmDKGpHTjfD0cP761ax2UzGypVWFAIIgxk9rl9MyBDfNMs9LoZnf&#10;s04YdEoLmgU04TYrgNWIrlU2GgzeZrWFwoHlwnv8etw66TzhSyl4OJfSi0BUTvFsIa2Q1pu4ZvMZ&#10;m94Cc2XFu2OwfziFZpXBoj3UMQuMLKF6BqUrDtZbGfa41ZmVsuIi9YDdDAdPurksmROpFyTHu54m&#10;//9g+dnqAkhV5BQvyjCNV9TcPXxrfjb3zY+H783v5ldzTyaRp9r5KYZfugvoLI/b2PRago7/2A5Z&#10;J243PbdiHQjHj+OD8bvJaEwJR9/+aH8yTuRnj9kOfPggrCZxk1PAu0uUstWpD1gRQ7chaMTTtPXT&#10;LmyUiEdQ5pOQ2A9WHKXspCRxpICsGGqAcS5MGLaukhWi/Twe4C82iUX6jGQlwIgsK6V67A4gqvQ5&#10;dgvTxcdUkYTYJw/+drA2uc9Ila0JfbKujIWXABR21VVu47cktdRElm5sscHbBtuOgXf8pEKuT5kP&#10;FwxQ9zghOMvhHBepbJ1T2+0oKS18fel7jEc5opeSGucop/7LkoGgRH00KNT3w4ODOHjJQA2M0IBd&#10;z82uxyz1kcVrGuKr4XjaxvigtlsJVl/jyC9iVXQxw7F2TnmArXEU2vnGR4OLxSKF4bA5Fk7NpeMR&#10;PLIatXS1vmbgOsEFlOqZ3c4cmz7RXRsbM41dLIOVVRLlI68d3zioSTjdoxJfgl07RT0+ffM/AAAA&#10;//8DAFBLAwQUAAYACAAAACEA1qy3FtwAAAAJAQAADwAAAGRycy9kb3ducmV2LnhtbEyPwU7DMBBE&#10;70j8g7VI3Fo7FEpJ41SoEhckDi18wDbexqGxHcVOk/w9ywmOoxnNvCl2k2vFlfrYBK8hWyoQ5Ktg&#10;Gl9r+Pp8W2xAxITeYBs8aZgpwq68vSkwN2H0B7oeUy24xMccNdiUulzKWFlyGJehI8/eOfQOE8u+&#10;lqbHkctdKx+UWkuHjecFix3tLVWX4+B4BOkwZ8/j/vJhp/eG2vmbhlnr+7vpdQsi0ZT+wvCLz+hQ&#10;MtMpDN5E0WpYZC9PHGVDrUBwYPOo+NxJwzpbgSwL+f9B+QMAAP//AwBQSwECLQAUAAYACAAAACEA&#10;toM4kv4AAADhAQAAEwAAAAAAAAAAAAAAAAAAAAAAW0NvbnRlbnRfVHlwZXNdLnhtbFBLAQItABQA&#10;BgAIAAAAIQA4/SH/1gAAAJQBAAALAAAAAAAAAAAAAAAAAC8BAABfcmVscy8ucmVsc1BLAQItABQA&#10;BgAIAAAAIQDfc7LzkAIAAEIFAAAOAAAAAAAAAAAAAAAAAC4CAABkcnMvZTJvRG9jLnhtbFBLAQIt&#10;ABQABgAIAAAAIQDWrLcW3AAAAAkBAAAPAAAAAAAAAAAAAAAAAOoEAABkcnMvZG93bnJldi54bWxQ&#10;SwUGAAAAAAQABADzAAAA8wUAAAAA&#10;" fillcolor="#5b9bd5 [3204]" strokecolor="#1f4d78 [1604]" strokeweight="1pt"/>
            </w:pict>
          </mc:Fallback>
        </mc:AlternateContent>
      </w:r>
    </w:p>
    <w:p w:rsidR="00DF05FE" w:rsidRPr="001039D4" w:rsidRDefault="00DF05FE" w:rsidP="00DF05FE">
      <w:pPr>
        <w:autoSpaceDE w:val="0"/>
        <w:autoSpaceDN w:val="0"/>
        <w:adjustRightInd w:val="0"/>
        <w:spacing w:after="0" w:line="240" w:lineRule="auto"/>
        <w:rPr>
          <w:rFonts w:cs="ArialMT"/>
          <w:b/>
        </w:rPr>
      </w:pPr>
      <w:r w:rsidRPr="001039D4">
        <w:rPr>
          <w:rFonts w:cs="ArialMT"/>
          <w:b/>
        </w:rPr>
        <w:t>ΓΕΝΙΚΟΙ ΣΤΟΧΟΙ</w:t>
      </w:r>
    </w:p>
    <w:p w:rsidR="001039D4" w:rsidRPr="001039D4" w:rsidRDefault="001039D4" w:rsidP="00DF05FE">
      <w:pPr>
        <w:autoSpaceDE w:val="0"/>
        <w:autoSpaceDN w:val="0"/>
        <w:adjustRightInd w:val="0"/>
        <w:spacing w:after="0" w:line="240" w:lineRule="auto"/>
        <w:rPr>
          <w:rFonts w:cs="ArialMT"/>
          <w:b/>
        </w:rPr>
      </w:pPr>
    </w:p>
    <w:p w:rsidR="00DF05FE" w:rsidRPr="001039D4" w:rsidRDefault="00DF05FE" w:rsidP="00DF05FE">
      <w:pPr>
        <w:autoSpaceDE w:val="0"/>
        <w:autoSpaceDN w:val="0"/>
        <w:adjustRightInd w:val="0"/>
        <w:spacing w:after="0" w:line="240" w:lineRule="auto"/>
        <w:rPr>
          <w:rFonts w:cs="ArialMT"/>
        </w:rPr>
      </w:pPr>
      <w:r w:rsidRPr="001039D4">
        <w:rPr>
          <w:rFonts w:cs="ArialMT"/>
        </w:rPr>
        <w:t>1. Η πλήρης εναρμόνιση με τις αρχές του Χάρτη Erasmus</w:t>
      </w:r>
    </w:p>
    <w:p w:rsidR="00DF05FE" w:rsidRPr="001039D4" w:rsidRDefault="00DF05FE" w:rsidP="00DF05FE">
      <w:pPr>
        <w:autoSpaceDE w:val="0"/>
        <w:autoSpaceDN w:val="0"/>
        <w:adjustRightInd w:val="0"/>
        <w:spacing w:after="0" w:line="240" w:lineRule="auto"/>
        <w:rPr>
          <w:rFonts w:cs="ArialMT"/>
        </w:rPr>
      </w:pPr>
      <w:r w:rsidRPr="001039D4">
        <w:rPr>
          <w:rFonts w:cs="ArialMT"/>
        </w:rPr>
        <w:t>2. Η αξιοποίηση και διάδοση των αποτελεσμάτων μετακίνησης</w:t>
      </w:r>
    </w:p>
    <w:p w:rsidR="00DF05FE" w:rsidRPr="001039D4" w:rsidRDefault="00DF05FE" w:rsidP="00DF05FE">
      <w:pPr>
        <w:autoSpaceDE w:val="0"/>
        <w:autoSpaceDN w:val="0"/>
        <w:adjustRightInd w:val="0"/>
        <w:spacing w:after="0" w:line="240" w:lineRule="auto"/>
        <w:rPr>
          <w:rFonts w:cs="ArialMT"/>
        </w:rPr>
      </w:pPr>
      <w:r w:rsidRPr="001039D4">
        <w:rPr>
          <w:rFonts w:cs="ArialMT"/>
        </w:rPr>
        <w:t>3. Η διεύρυνση των υφισταμένων και η ανάπτυξη νέων συνεργασιών στα πλαίσια του</w:t>
      </w:r>
    </w:p>
    <w:p w:rsidR="00DF05FE" w:rsidRPr="001039D4" w:rsidRDefault="00DF05FE" w:rsidP="00DF05FE">
      <w:pPr>
        <w:autoSpaceDE w:val="0"/>
        <w:autoSpaceDN w:val="0"/>
        <w:adjustRightInd w:val="0"/>
        <w:spacing w:after="0" w:line="240" w:lineRule="auto"/>
        <w:rPr>
          <w:rFonts w:cs="ArialMT"/>
        </w:rPr>
      </w:pPr>
      <w:r w:rsidRPr="001039D4">
        <w:rPr>
          <w:rFonts w:cs="ArialMT"/>
        </w:rPr>
        <w:t>Προγράμματος.</w:t>
      </w:r>
    </w:p>
    <w:p w:rsidR="001039D4" w:rsidRPr="001039D4" w:rsidRDefault="001039D4" w:rsidP="00DF05FE">
      <w:pPr>
        <w:autoSpaceDE w:val="0"/>
        <w:autoSpaceDN w:val="0"/>
        <w:adjustRightInd w:val="0"/>
        <w:spacing w:after="0" w:line="240" w:lineRule="auto"/>
        <w:rPr>
          <w:rFonts w:cs="ArialMT"/>
        </w:rPr>
      </w:pPr>
    </w:p>
    <w:p w:rsidR="00DF05FE" w:rsidRPr="001039D4" w:rsidRDefault="001039D4" w:rsidP="00DF05FE">
      <w:pPr>
        <w:autoSpaceDE w:val="0"/>
        <w:autoSpaceDN w:val="0"/>
        <w:adjustRightInd w:val="0"/>
        <w:spacing w:after="0" w:line="240" w:lineRule="auto"/>
        <w:rPr>
          <w:rFonts w:cs="ArialMT"/>
        </w:rPr>
      </w:pPr>
      <w:r w:rsidRPr="001039D4">
        <w:rPr>
          <w:b/>
          <w:noProof/>
          <w:color w:val="FF0000"/>
          <w:lang w:eastAsia="el-GR"/>
        </w:rPr>
        <mc:AlternateContent>
          <mc:Choice Requires="wps">
            <w:drawing>
              <wp:anchor distT="0" distB="0" distL="114300" distR="114300" simplePos="0" relativeHeight="251671552" behindDoc="1" locked="0" layoutInCell="1" allowOverlap="1" wp14:anchorId="5D96E9DB" wp14:editId="01966DC6">
                <wp:simplePos x="0" y="0"/>
                <wp:positionH relativeFrom="column">
                  <wp:posOffset>-123825</wp:posOffset>
                </wp:positionH>
                <wp:positionV relativeFrom="paragraph">
                  <wp:posOffset>66675</wp:posOffset>
                </wp:positionV>
                <wp:extent cx="5457825" cy="323850"/>
                <wp:effectExtent l="0" t="0" r="28575" b="19050"/>
                <wp:wrapNone/>
                <wp:docPr id="9" name="Ορθογώνιο 9"/>
                <wp:cNvGraphicFramePr/>
                <a:graphic xmlns:a="http://schemas.openxmlformats.org/drawingml/2006/main">
                  <a:graphicData uri="http://schemas.microsoft.com/office/word/2010/wordprocessingShape">
                    <wps:wsp>
                      <wps:cNvSpPr/>
                      <wps:spPr>
                        <a:xfrm>
                          <a:off x="0" y="0"/>
                          <a:ext cx="5457825"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84E5F" id="Ορθογώνιο 9" o:spid="_x0000_s1026" style="position:absolute;margin-left:-9.75pt;margin-top:5.25pt;width:429.75pt;height:25.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UgkAIAAEIFAAAOAAAAZHJzL2Uyb0RvYy54bWysVMFOGzEQvVfqP1i+l00CaSHKBkUgqkoI&#10;okLF2fHa7Eq2x7WdbNJbf6C/0I/opT1U/MHySx17NwsC1EPVHByPZ+aN5+0bT483WpG1cL4Ck9Ph&#10;3oASYTgUlbnN6afrszeHlPjATMEUGJHTrfD0ePb61bS2EzGCElQhHEEQ4ye1zWkZgp1kmeel0Mzv&#10;gRUGnRKcZgFNd5sVjtWIrlU2GgzeZjW4wjrgwns8PW2ddJbwpRQ8XErpRSAqp3i3kFaX1mVcs9mU&#10;TW4ds2XFu2uwf7iFZpXBoj3UKQuMrFz1DEpX3IEHGfY46AykrLhIPWA3w8GTbq5KZkXqBcnxtqfJ&#10;/z9YfrFeOFIVOT2ixDCNn6j5fv+1+dncNT/uvzW/m1/NHTmKPNXWTzD8yi5cZ3ncxqY30un4j+2Q&#10;TeJ223MrNoFwPBwfjN8djsaUcPTtj/YPx4n87CHbOh/eC9AkbnLq8NslStn63AesiKG7EDTibdr6&#10;aRe2SsQrKPNRSOwHK45SdlKSOFGOrBlqgHEuTBi2rpIVoj0eD/AXm8QifUayEmBElpVSPXYHEFX6&#10;HLuF6eJjqkhC7JMHf7tYm9xnpMpgQp+sKwPuJQCFXXWV2/gdSS01kaUlFFv82g7aMfCWn1XI9Tnz&#10;YcEc6h4nBGc5XOIiFdQ5hW5HSQnuy0vnMR7liF5KapyjnPrPK+YEJeqDQaEeDQ8O4uAlAzUwQsM9&#10;9iwfe8xKnwB+piG+GpanbYwPareVDvQNjvw8VkUXMxxr55QHtzNOQjvf+GhwMZ+nMBw2y8K5ubI8&#10;gkdWo5auNzfM2U5wAaV6AbuZY5MnumtjY6aB+SqArJIoH3jt+MZBTcLpHpX4Ejy2U9TD0zf7AwAA&#10;//8DAFBLAwQUAAYACAAAACEAOVCrQtwAAAAJAQAADwAAAGRycy9kb3ducmV2LnhtbEyPwU7DMBBE&#10;70j8g7VI3Fo7iJaSxqlQJS5IHNryAW68JGntdRQ7TfL3LCc4rVYzmnlT7CbvxA372AbSkC0VCKQq&#10;2JZqDV+n98UGREyGrHGBUMOMEXbl/V1hchtGOuDtmGrBIRRzo6FJqculjFWD3sRl6JBY+w69N4nf&#10;vpa2NyOHeyeflFpLb1rihsZ0uG+wuh4HzyUGD3P2Mu6vn8300aKbLzjMWj8+TG9bEAmn9GeGX3xG&#10;h5KZzmEgG4XTsMheV2xlQfFlw+ZZ8bizhnW2AlkW8v+C8gcAAP//AwBQSwECLQAUAAYACAAAACEA&#10;toM4kv4AAADhAQAAEwAAAAAAAAAAAAAAAAAAAAAAW0NvbnRlbnRfVHlwZXNdLnhtbFBLAQItABQA&#10;BgAIAAAAIQA4/SH/1gAAAJQBAAALAAAAAAAAAAAAAAAAAC8BAABfcmVscy8ucmVsc1BLAQItABQA&#10;BgAIAAAAIQDEWlUgkAIAAEIFAAAOAAAAAAAAAAAAAAAAAC4CAABkcnMvZTJvRG9jLnhtbFBLAQIt&#10;ABQABgAIAAAAIQA5UKtC3AAAAAkBAAAPAAAAAAAAAAAAAAAAAOoEAABkcnMvZG93bnJldi54bWxQ&#10;SwUGAAAAAAQABADzAAAA8wUAAAAA&#10;" fillcolor="#5b9bd5 [3204]" strokecolor="#1f4d78 [1604]" strokeweight="1pt"/>
            </w:pict>
          </mc:Fallback>
        </mc:AlternateContent>
      </w:r>
    </w:p>
    <w:p w:rsidR="00DF05FE" w:rsidRPr="001039D4" w:rsidRDefault="00DF05FE" w:rsidP="00DF05FE">
      <w:pPr>
        <w:autoSpaceDE w:val="0"/>
        <w:autoSpaceDN w:val="0"/>
        <w:adjustRightInd w:val="0"/>
        <w:spacing w:after="0" w:line="240" w:lineRule="auto"/>
        <w:rPr>
          <w:rFonts w:cs="ArialMT"/>
          <w:b/>
        </w:rPr>
      </w:pPr>
      <w:r w:rsidRPr="001039D4">
        <w:rPr>
          <w:rFonts w:cs="ArialMT"/>
          <w:b/>
        </w:rPr>
        <w:t>ΑΠΟΤΕΛΕΣΜΑΤΑ ΚΑΙ ΑΝΤΙΚΤΥΠΟΣ</w:t>
      </w:r>
    </w:p>
    <w:p w:rsidR="00DF05FE" w:rsidRPr="001039D4" w:rsidRDefault="00DF05FE" w:rsidP="00DF05FE">
      <w:pPr>
        <w:autoSpaceDE w:val="0"/>
        <w:autoSpaceDN w:val="0"/>
        <w:adjustRightInd w:val="0"/>
        <w:spacing w:after="0" w:line="240" w:lineRule="auto"/>
        <w:rPr>
          <w:rFonts w:cs="ArialMT"/>
        </w:rPr>
      </w:pPr>
    </w:p>
    <w:p w:rsidR="00DF05FE" w:rsidRPr="001039D4" w:rsidRDefault="00DF05FE" w:rsidP="001039D4">
      <w:pPr>
        <w:autoSpaceDE w:val="0"/>
        <w:autoSpaceDN w:val="0"/>
        <w:adjustRightInd w:val="0"/>
        <w:spacing w:after="0" w:line="240" w:lineRule="auto"/>
        <w:jc w:val="both"/>
        <w:rPr>
          <w:rFonts w:cs="ArialMT"/>
        </w:rPr>
      </w:pPr>
      <w:r w:rsidRPr="001039D4">
        <w:rPr>
          <w:rFonts w:cs="ArialMT"/>
        </w:rPr>
        <w:t>Η αποτίμηση της εφαρμογή του Σχεδίου και τα συμπεράσματα εξάγονται α) βάσει του</w:t>
      </w:r>
      <w:r w:rsidR="001039D4">
        <w:rPr>
          <w:rFonts w:cs="ArialMT"/>
        </w:rPr>
        <w:t xml:space="preserve"> </w:t>
      </w:r>
      <w:r w:rsidRPr="001039D4">
        <w:rPr>
          <w:rFonts w:cs="ArialMT"/>
        </w:rPr>
        <w:t>βαθμού απορρόφησης των κονδυλίων και β) βάσει της ποιοτικής ανάλυσης των</w:t>
      </w:r>
      <w:r w:rsidR="001039D4">
        <w:rPr>
          <w:rFonts w:cs="ArialMT"/>
        </w:rPr>
        <w:t xml:space="preserve"> </w:t>
      </w:r>
      <w:r w:rsidR="00651B87" w:rsidRPr="001039D4">
        <w:rPr>
          <w:rFonts w:cs="ArialMT"/>
        </w:rPr>
        <w:t>απαντήσεων των συμμετεχόντων μετά την υποβολή της Έκθεσης Κινητικότητας.</w:t>
      </w:r>
    </w:p>
    <w:p w:rsidR="00DF05FE" w:rsidRPr="001039D4" w:rsidRDefault="00DF05FE" w:rsidP="001039D4">
      <w:pPr>
        <w:autoSpaceDE w:val="0"/>
        <w:autoSpaceDN w:val="0"/>
        <w:adjustRightInd w:val="0"/>
        <w:spacing w:after="0" w:line="240" w:lineRule="auto"/>
        <w:jc w:val="both"/>
        <w:rPr>
          <w:rFonts w:cs="ArialMT"/>
        </w:rPr>
      </w:pPr>
    </w:p>
    <w:p w:rsidR="00DF05FE" w:rsidRPr="001039D4" w:rsidRDefault="00DF05FE" w:rsidP="00DF05FE">
      <w:pPr>
        <w:autoSpaceDE w:val="0"/>
        <w:autoSpaceDN w:val="0"/>
        <w:adjustRightInd w:val="0"/>
        <w:spacing w:after="0" w:line="240" w:lineRule="auto"/>
        <w:rPr>
          <w:rFonts w:cs="ArialMT"/>
        </w:rPr>
      </w:pPr>
      <w:r w:rsidRPr="001039D4">
        <w:rPr>
          <w:rFonts w:cs="ArialMT"/>
        </w:rPr>
        <w:t>-------------------------------------------------------------------------------------------------------------------------</w:t>
      </w:r>
    </w:p>
    <w:p w:rsidR="00DF05FE" w:rsidRPr="001039D4" w:rsidRDefault="00DF05FE" w:rsidP="00DF05FE">
      <w:pPr>
        <w:autoSpaceDE w:val="0"/>
        <w:autoSpaceDN w:val="0"/>
        <w:adjustRightInd w:val="0"/>
        <w:spacing w:after="0" w:line="240" w:lineRule="auto"/>
        <w:rPr>
          <w:rFonts w:cs="ArialMT"/>
        </w:rPr>
      </w:pPr>
    </w:p>
    <w:p w:rsidR="00DF05FE" w:rsidRPr="001039D4" w:rsidRDefault="00DF05FE" w:rsidP="004A25DE">
      <w:pPr>
        <w:autoSpaceDE w:val="0"/>
        <w:autoSpaceDN w:val="0"/>
        <w:adjustRightInd w:val="0"/>
        <w:spacing w:after="0" w:line="240" w:lineRule="auto"/>
        <w:jc w:val="center"/>
        <w:rPr>
          <w:rFonts w:cs="ArialMT"/>
          <w:i/>
        </w:rPr>
      </w:pPr>
      <w:r w:rsidRPr="001039D4">
        <w:rPr>
          <w:rFonts w:cs="ArialMT"/>
          <w:i/>
        </w:rPr>
        <w:t>Τυχόν αλλαγές και διαφοροποιήσεις κατά τα διάφορα στάδια υλοποίησης του Προγράμματος δημοσιοποιούνται έγκαιρα</w:t>
      </w:r>
      <w:r w:rsidR="009113FC" w:rsidRPr="001039D4">
        <w:rPr>
          <w:rFonts w:cs="ArialMT"/>
          <w:i/>
        </w:rPr>
        <w:t>,</w:t>
      </w:r>
      <w:r w:rsidRPr="001039D4">
        <w:rPr>
          <w:rFonts w:cs="ArialMT"/>
          <w:i/>
        </w:rPr>
        <w:t xml:space="preserve"> ώστε να διασφαλίζεται η διαφάνεια και συνοχή στη λειτουργία του Προγράμματος.</w:t>
      </w:r>
    </w:p>
    <w:p w:rsidR="00DF05FE" w:rsidRPr="001039D4" w:rsidRDefault="00DF05FE" w:rsidP="00F33CFB">
      <w:pPr>
        <w:spacing w:after="150" w:line="240" w:lineRule="auto"/>
        <w:rPr>
          <w:rFonts w:eastAsia="Times New Roman" w:cs="Arial"/>
          <w:lang w:eastAsia="el-GR"/>
        </w:rPr>
      </w:pPr>
    </w:p>
    <w:sectPr w:rsidR="00DF05FE" w:rsidRPr="001039D4" w:rsidSect="00026717">
      <w:headerReference w:type="default" r:id="rId10"/>
      <w:footerReference w:type="default" r:id="rId11"/>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BD" w:rsidRDefault="00A97BBD" w:rsidP="000F7E5E">
      <w:pPr>
        <w:spacing w:after="0" w:line="240" w:lineRule="auto"/>
      </w:pPr>
      <w:r>
        <w:separator/>
      </w:r>
    </w:p>
  </w:endnote>
  <w:endnote w:type="continuationSeparator" w:id="0">
    <w:p w:rsidR="00A97BBD" w:rsidRDefault="00A97BBD" w:rsidP="000F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35" w:rsidRDefault="00157B35" w:rsidP="00157B35">
    <w:pPr>
      <w:spacing w:line="240" w:lineRule="auto"/>
      <w:jc w:val="center"/>
      <w:rPr>
        <w:rFonts w:cs="Tahoma"/>
        <w:b/>
        <w:i/>
        <w:sz w:val="18"/>
        <w:szCs w:val="18"/>
      </w:rPr>
    </w:pPr>
  </w:p>
  <w:p w:rsidR="000F7E5E" w:rsidRPr="00157B35" w:rsidRDefault="000F7E5E" w:rsidP="00157B35">
    <w:pPr>
      <w:spacing w:line="240" w:lineRule="auto"/>
      <w:jc w:val="center"/>
      <w:rPr>
        <w:rFonts w:cs="Tahoma"/>
        <w:b/>
        <w:i/>
        <w:sz w:val="18"/>
        <w:szCs w:val="18"/>
      </w:rPr>
    </w:pPr>
    <w:r w:rsidRPr="00157B35">
      <w:rPr>
        <w:rFonts w:cs="Tahoma"/>
        <w:b/>
        <w:i/>
        <w:sz w:val="18"/>
        <w:szCs w:val="18"/>
      </w:rPr>
      <w:t xml:space="preserve">Γραφείο </w:t>
    </w:r>
    <w:r w:rsidRPr="00157B35">
      <w:rPr>
        <w:rFonts w:cs="Tahoma"/>
        <w:b/>
        <w:i/>
        <w:sz w:val="18"/>
        <w:szCs w:val="18"/>
        <w:lang w:val="en-US"/>
      </w:rPr>
      <w:t>Erasmus</w:t>
    </w:r>
    <w:r w:rsidRPr="00157B35">
      <w:rPr>
        <w:rFonts w:cs="Tahoma"/>
        <w:b/>
        <w:i/>
        <w:sz w:val="18"/>
        <w:szCs w:val="18"/>
      </w:rPr>
      <w:t xml:space="preserve"> Πανεπιστημίου Πελοποννήσου  </w:t>
    </w:r>
    <w:r w:rsidR="00157B35">
      <w:rPr>
        <w:rFonts w:cs="Tahoma"/>
        <w:b/>
        <w:i/>
        <w:sz w:val="18"/>
        <w:szCs w:val="18"/>
      </w:rPr>
      <w:t xml:space="preserve">                                                                                                                          </w:t>
    </w:r>
    <w:proofErr w:type="spellStart"/>
    <w:r w:rsidRPr="00157B35">
      <w:rPr>
        <w:rFonts w:cs="Tahoma"/>
        <w:b/>
        <w:i/>
        <w:sz w:val="18"/>
        <w:szCs w:val="18"/>
      </w:rPr>
      <w:t>Βασ</w:t>
    </w:r>
    <w:proofErr w:type="spellEnd"/>
    <w:r w:rsidRPr="00157B35">
      <w:rPr>
        <w:rFonts w:cs="Tahoma"/>
        <w:b/>
        <w:i/>
        <w:sz w:val="18"/>
        <w:szCs w:val="18"/>
      </w:rPr>
      <w:t>. Κωνσταντίνου</w:t>
    </w:r>
    <w:r w:rsidR="00157B35">
      <w:rPr>
        <w:rFonts w:cs="Tahoma"/>
        <w:b/>
        <w:i/>
        <w:sz w:val="18"/>
        <w:szCs w:val="18"/>
      </w:rPr>
      <w:t xml:space="preserve"> 21, 211 Ναύπλιο                                                                                                                                                          </w:t>
    </w:r>
    <w:proofErr w:type="spellStart"/>
    <w:r w:rsidRPr="00157B35">
      <w:rPr>
        <w:rFonts w:cs="Tahoma"/>
        <w:b/>
        <w:i/>
        <w:sz w:val="18"/>
        <w:szCs w:val="18"/>
      </w:rPr>
      <w:t>Τηλ</w:t>
    </w:r>
    <w:proofErr w:type="spellEnd"/>
    <w:r w:rsidRPr="00157B35">
      <w:rPr>
        <w:rFonts w:cs="Tahoma"/>
        <w:b/>
        <w:i/>
        <w:sz w:val="18"/>
        <w:szCs w:val="18"/>
      </w:rPr>
      <w:t xml:space="preserve">. 27520 96130 </w:t>
    </w:r>
    <w:r w:rsidRPr="00157B35">
      <w:rPr>
        <w:rFonts w:cs="Tahoma"/>
        <w:b/>
        <w:i/>
        <w:sz w:val="18"/>
        <w:szCs w:val="18"/>
        <w:lang w:val="en-GB"/>
      </w:rPr>
      <w:t>Fax</w:t>
    </w:r>
    <w:r w:rsidRPr="00157B35">
      <w:rPr>
        <w:rFonts w:cs="Tahoma"/>
        <w:b/>
        <w:i/>
        <w:sz w:val="18"/>
        <w:szCs w:val="18"/>
      </w:rPr>
      <w:t xml:space="preserve">: </w:t>
    </w:r>
    <w:r w:rsidR="00157B35">
      <w:rPr>
        <w:rFonts w:cs="Tahoma"/>
        <w:b/>
        <w:i/>
        <w:sz w:val="18"/>
        <w:szCs w:val="18"/>
      </w:rPr>
      <w:t xml:space="preserve">27520 96128                                                                                                                                  </w:t>
    </w:r>
    <w:r w:rsidRPr="00157B35">
      <w:rPr>
        <w:rFonts w:cs="Tahoma"/>
        <w:b/>
        <w:i/>
        <w:sz w:val="18"/>
        <w:szCs w:val="18"/>
      </w:rPr>
      <w:t xml:space="preserve"> </w:t>
    </w:r>
    <w:hyperlink r:id="rId1" w:history="1">
      <w:r w:rsidRPr="00157B35">
        <w:rPr>
          <w:rStyle w:val="-"/>
          <w:rFonts w:cs="Tahoma"/>
          <w:b/>
          <w:i/>
          <w:sz w:val="18"/>
          <w:szCs w:val="18"/>
          <w:lang w:val="en-US"/>
        </w:rPr>
        <w:t>erasmus</w:t>
      </w:r>
      <w:r w:rsidRPr="00157B35">
        <w:rPr>
          <w:rStyle w:val="-"/>
          <w:rFonts w:cs="Tahoma"/>
          <w:b/>
          <w:i/>
          <w:sz w:val="18"/>
          <w:szCs w:val="18"/>
        </w:rPr>
        <w:t>@</w:t>
      </w:r>
      <w:r w:rsidRPr="00157B35">
        <w:rPr>
          <w:rStyle w:val="-"/>
          <w:rFonts w:cs="Tahoma"/>
          <w:b/>
          <w:i/>
          <w:sz w:val="18"/>
          <w:szCs w:val="18"/>
          <w:lang w:val="en-US"/>
        </w:rPr>
        <w:t>uop</w:t>
      </w:r>
      <w:r w:rsidRPr="00157B35">
        <w:rPr>
          <w:rStyle w:val="-"/>
          <w:rFonts w:cs="Tahoma"/>
          <w:b/>
          <w:i/>
          <w:sz w:val="18"/>
          <w:szCs w:val="18"/>
        </w:rPr>
        <w:t>.</w:t>
      </w:r>
      <w:r w:rsidRPr="00157B35">
        <w:rPr>
          <w:rStyle w:val="-"/>
          <w:rFonts w:cs="Tahoma"/>
          <w:b/>
          <w:i/>
          <w:sz w:val="18"/>
          <w:szCs w:val="18"/>
          <w:lang w:val="en-US"/>
        </w:rPr>
        <w:t>gr</w:t>
      </w:r>
    </w:hyperlink>
    <w:r w:rsidR="00157B35">
      <w:rPr>
        <w:rFonts w:cs="Tahoma"/>
        <w:b/>
        <w:i/>
        <w:sz w:val="18"/>
        <w:szCs w:val="18"/>
      </w:rPr>
      <w:t xml:space="preserve">                                                                                                                                                </w:t>
    </w:r>
    <w:hyperlink r:id="rId2" w:history="1">
      <w:r w:rsidRPr="00157B35">
        <w:rPr>
          <w:rStyle w:val="-"/>
          <w:rFonts w:cs="Tahoma"/>
          <w:b/>
          <w:i/>
          <w:sz w:val="18"/>
          <w:szCs w:val="18"/>
          <w:lang w:val="en-US"/>
        </w:rPr>
        <w:t>www</w:t>
      </w:r>
      <w:r w:rsidRPr="00157B35">
        <w:rPr>
          <w:rStyle w:val="-"/>
          <w:rFonts w:cs="Tahoma"/>
          <w:b/>
          <w:i/>
          <w:sz w:val="18"/>
          <w:szCs w:val="18"/>
        </w:rPr>
        <w:t>.</w:t>
      </w:r>
      <w:r w:rsidRPr="00157B35">
        <w:rPr>
          <w:rStyle w:val="-"/>
          <w:rFonts w:cs="Tahoma"/>
          <w:b/>
          <w:i/>
          <w:sz w:val="18"/>
          <w:szCs w:val="18"/>
          <w:lang w:val="en-US"/>
        </w:rPr>
        <w:t>uop</w:t>
      </w:r>
      <w:r w:rsidRPr="00157B35">
        <w:rPr>
          <w:rStyle w:val="-"/>
          <w:rFonts w:cs="Tahoma"/>
          <w:b/>
          <w:i/>
          <w:sz w:val="18"/>
          <w:szCs w:val="18"/>
        </w:rPr>
        <w:t>.</w:t>
      </w:r>
      <w:r w:rsidRPr="00157B35">
        <w:rPr>
          <w:rStyle w:val="-"/>
          <w:rFonts w:cs="Tahoma"/>
          <w:b/>
          <w:i/>
          <w:sz w:val="18"/>
          <w:szCs w:val="18"/>
          <w:lang w:val="en-US"/>
        </w:rPr>
        <w:t>gr</w:t>
      </w:r>
      <w:r w:rsidRPr="00157B35">
        <w:rPr>
          <w:rStyle w:val="-"/>
          <w:rFonts w:cs="Tahoma"/>
          <w:b/>
          <w:i/>
          <w:sz w:val="18"/>
          <w:szCs w:val="18"/>
        </w:rPr>
        <w:t>/</w:t>
      </w:r>
      <w:r w:rsidRPr="00157B35">
        <w:rPr>
          <w:rStyle w:val="-"/>
          <w:rFonts w:cs="Tahoma"/>
          <w:b/>
          <w:i/>
          <w:sz w:val="18"/>
          <w:szCs w:val="18"/>
          <w:lang w:val="en-US"/>
        </w:rPr>
        <w:t>erasmus</w:t>
      </w:r>
    </w:hyperlink>
    <w:r w:rsidRPr="00157B35">
      <w:rPr>
        <w:rFonts w:cs="Tahoma"/>
        <w:b/>
        <w:i/>
        <w:sz w:val="18"/>
        <w:szCs w:val="18"/>
      </w:rPr>
      <w:t xml:space="preserve"> </w:t>
    </w:r>
    <w:hyperlink r:id="rId3" w:history="1"/>
    <w:r w:rsidRPr="00157B35">
      <w:rPr>
        <w:rFonts w:cs="Tahoma"/>
        <w:b/>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BD" w:rsidRDefault="00A97BBD" w:rsidP="000F7E5E">
      <w:pPr>
        <w:spacing w:after="0" w:line="240" w:lineRule="auto"/>
      </w:pPr>
      <w:r>
        <w:separator/>
      </w:r>
    </w:p>
  </w:footnote>
  <w:footnote w:type="continuationSeparator" w:id="0">
    <w:p w:rsidR="00A97BBD" w:rsidRDefault="00A97BBD" w:rsidP="000F7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E5E" w:rsidRDefault="000F7E5E" w:rsidP="000F7E5E">
    <w:pPr>
      <w:pStyle w:val="a4"/>
      <w:rPr>
        <w:rFonts w:ascii="Tahoma" w:hAnsi="Tahoma" w:cs="Tahoma"/>
        <w:noProof/>
        <w:sz w:val="20"/>
        <w:lang w:eastAsia="el-GR"/>
      </w:rPr>
    </w:pPr>
    <w:r w:rsidRPr="00FB2712">
      <w:rPr>
        <w:b/>
        <w:noProof/>
        <w:sz w:val="20"/>
        <w:szCs w:val="20"/>
        <w:lang w:eastAsia="el-GR"/>
      </w:rPr>
      <w:drawing>
        <wp:inline distT="0" distB="0" distL="0" distR="0">
          <wp:extent cx="1809750" cy="704850"/>
          <wp:effectExtent l="0" t="0" r="0" b="0"/>
          <wp:docPr id="2" name="Εικόνα 2"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αρχείο λήψη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04850"/>
                  </a:xfrm>
                  <a:prstGeom prst="rect">
                    <a:avLst/>
                  </a:prstGeom>
                  <a:noFill/>
                  <a:ln>
                    <a:noFill/>
                  </a:ln>
                </pic:spPr>
              </pic:pic>
            </a:graphicData>
          </a:graphic>
        </wp:inline>
      </w:drawing>
    </w:r>
    <w:r>
      <w:rPr>
        <w:b/>
        <w:noProof/>
        <w:sz w:val="20"/>
        <w:szCs w:val="20"/>
        <w:lang w:eastAsia="el-GR"/>
      </w:rPr>
      <w:tab/>
      <w:t xml:space="preserve">                                                                            </w:t>
    </w:r>
    <w:r w:rsidRPr="00FB2712">
      <w:rPr>
        <w:rFonts w:ascii="Tahoma" w:hAnsi="Tahoma" w:cs="Tahoma"/>
        <w:noProof/>
        <w:sz w:val="20"/>
        <w:lang w:eastAsia="el-GR"/>
      </w:rPr>
      <w:drawing>
        <wp:inline distT="0" distB="0" distL="0" distR="0">
          <wp:extent cx="704850" cy="628650"/>
          <wp:effectExtent l="0" t="0" r="0" b="0"/>
          <wp:docPr id="1" name="Εικόνα 1" descr="P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EL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28650"/>
                  </a:xfrm>
                  <a:prstGeom prst="rect">
                    <a:avLst/>
                  </a:prstGeom>
                  <a:noFill/>
                  <a:ln>
                    <a:noFill/>
                  </a:ln>
                </pic:spPr>
              </pic:pic>
            </a:graphicData>
          </a:graphic>
        </wp:inline>
      </w:drawing>
    </w:r>
  </w:p>
  <w:p w:rsidR="000F7E5E" w:rsidRDefault="000F7E5E" w:rsidP="000F7E5E">
    <w:pPr>
      <w:pStyle w:val="a4"/>
      <w:rPr>
        <w:b/>
        <w:noProof/>
        <w:sz w:val="20"/>
        <w:szCs w:val="20"/>
        <w:lang w:eastAsia="el-GR"/>
      </w:rPr>
    </w:pPr>
    <w:r>
      <w:rPr>
        <w:rFonts w:ascii="Tahoma" w:hAnsi="Tahoma" w:cs="Tahoma"/>
        <w:noProof/>
        <w:sz w:val="20"/>
        <w:lang w:eastAsia="el-GR"/>
      </w:rPr>
      <w:tab/>
    </w:r>
    <w:r>
      <w:rPr>
        <w:rFonts w:ascii="Tahoma" w:hAnsi="Tahoma" w:cs="Tahoma"/>
        <w:noProof/>
        <w:sz w:val="20"/>
        <w:lang w:eastAsia="el-GR"/>
      </w:rPr>
      <w:tab/>
      <w:t xml:space="preserve">           </w:t>
    </w:r>
    <w:r>
      <w:rPr>
        <w:b/>
        <w:noProof/>
        <w:sz w:val="20"/>
        <w:szCs w:val="20"/>
        <w:lang w:eastAsia="el-GR"/>
      </w:rPr>
      <w:t>ΠΑΝΕΠΙΣΤΗΜΙΟ ΠΕΛΟΠΟΝΝΗΣΟΥ</w:t>
    </w:r>
  </w:p>
  <w:p w:rsidR="000F7E5E" w:rsidRDefault="000F7E5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7F7E"/>
    <w:multiLevelType w:val="hybridMultilevel"/>
    <w:tmpl w:val="EC32D8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ED0E29"/>
    <w:multiLevelType w:val="hybridMultilevel"/>
    <w:tmpl w:val="D548A9BA"/>
    <w:lvl w:ilvl="0" w:tplc="7E029DDE">
      <w:start w:val="3"/>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3C100B2"/>
    <w:multiLevelType w:val="hybridMultilevel"/>
    <w:tmpl w:val="8DAA1A82"/>
    <w:lvl w:ilvl="0" w:tplc="487C2368">
      <w:start w:val="3"/>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CF7CF1"/>
    <w:multiLevelType w:val="hybridMultilevel"/>
    <w:tmpl w:val="699021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5D04202"/>
    <w:multiLevelType w:val="hybridMultilevel"/>
    <w:tmpl w:val="B4AA68F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15"/>
    <w:rsid w:val="00026717"/>
    <w:rsid w:val="00081E90"/>
    <w:rsid w:val="000F7E5E"/>
    <w:rsid w:val="001013C7"/>
    <w:rsid w:val="001039D4"/>
    <w:rsid w:val="001224E6"/>
    <w:rsid w:val="00157B35"/>
    <w:rsid w:val="00157D11"/>
    <w:rsid w:val="001B663D"/>
    <w:rsid w:val="001F2ACF"/>
    <w:rsid w:val="00244115"/>
    <w:rsid w:val="002650D5"/>
    <w:rsid w:val="00265779"/>
    <w:rsid w:val="002C07AC"/>
    <w:rsid w:val="002E6AAD"/>
    <w:rsid w:val="002F6655"/>
    <w:rsid w:val="003956AF"/>
    <w:rsid w:val="0042098F"/>
    <w:rsid w:val="004500E0"/>
    <w:rsid w:val="004A25DE"/>
    <w:rsid w:val="004A3712"/>
    <w:rsid w:val="004D6DFB"/>
    <w:rsid w:val="00515816"/>
    <w:rsid w:val="0052651F"/>
    <w:rsid w:val="00547F2A"/>
    <w:rsid w:val="005671A1"/>
    <w:rsid w:val="00597CBD"/>
    <w:rsid w:val="005C70AE"/>
    <w:rsid w:val="005E5030"/>
    <w:rsid w:val="005F602E"/>
    <w:rsid w:val="00613E15"/>
    <w:rsid w:val="00614C14"/>
    <w:rsid w:val="00651B87"/>
    <w:rsid w:val="00684851"/>
    <w:rsid w:val="00695F35"/>
    <w:rsid w:val="006A06C0"/>
    <w:rsid w:val="006A65A4"/>
    <w:rsid w:val="006D3E3B"/>
    <w:rsid w:val="006E5A0D"/>
    <w:rsid w:val="00787E2A"/>
    <w:rsid w:val="007A4119"/>
    <w:rsid w:val="007D12C0"/>
    <w:rsid w:val="008C5CAC"/>
    <w:rsid w:val="008D6364"/>
    <w:rsid w:val="00903922"/>
    <w:rsid w:val="009113FC"/>
    <w:rsid w:val="009132B9"/>
    <w:rsid w:val="009771B4"/>
    <w:rsid w:val="0098676A"/>
    <w:rsid w:val="009F71DD"/>
    <w:rsid w:val="00A22FDB"/>
    <w:rsid w:val="00A24E66"/>
    <w:rsid w:val="00A97BBD"/>
    <w:rsid w:val="00AF3E49"/>
    <w:rsid w:val="00B00AA0"/>
    <w:rsid w:val="00B16C20"/>
    <w:rsid w:val="00BA01AF"/>
    <w:rsid w:val="00C411DB"/>
    <w:rsid w:val="00C608AE"/>
    <w:rsid w:val="00C67EC5"/>
    <w:rsid w:val="00D43363"/>
    <w:rsid w:val="00D74467"/>
    <w:rsid w:val="00D842E9"/>
    <w:rsid w:val="00DE3094"/>
    <w:rsid w:val="00DF05FE"/>
    <w:rsid w:val="00DF07BE"/>
    <w:rsid w:val="00E0770F"/>
    <w:rsid w:val="00E36BCE"/>
    <w:rsid w:val="00E41C40"/>
    <w:rsid w:val="00E65DDA"/>
    <w:rsid w:val="00EE5E86"/>
    <w:rsid w:val="00F248EE"/>
    <w:rsid w:val="00F33CFB"/>
    <w:rsid w:val="00F60CAD"/>
    <w:rsid w:val="00F93D7D"/>
    <w:rsid w:val="00FA1E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19AF7B-079A-4953-BA0D-B06BA97B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81E90"/>
    <w:rPr>
      <w:color w:val="0563C1" w:themeColor="hyperlink"/>
      <w:u w:val="single"/>
    </w:rPr>
  </w:style>
  <w:style w:type="paragraph" w:styleId="Web">
    <w:name w:val="Normal (Web)"/>
    <w:basedOn w:val="a"/>
    <w:uiPriority w:val="99"/>
    <w:unhideWhenUsed/>
    <w:rsid w:val="000F7E5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F7E5E"/>
    <w:rPr>
      <w:b/>
      <w:bCs/>
    </w:rPr>
  </w:style>
  <w:style w:type="paragraph" w:styleId="a4">
    <w:name w:val="header"/>
    <w:basedOn w:val="a"/>
    <w:link w:val="Char"/>
    <w:unhideWhenUsed/>
    <w:rsid w:val="000F7E5E"/>
    <w:pPr>
      <w:tabs>
        <w:tab w:val="center" w:pos="4153"/>
        <w:tab w:val="right" w:pos="8306"/>
      </w:tabs>
      <w:spacing w:after="0" w:line="240" w:lineRule="auto"/>
    </w:pPr>
  </w:style>
  <w:style w:type="character" w:customStyle="1" w:styleId="Char">
    <w:name w:val="Κεφαλίδα Char"/>
    <w:basedOn w:val="a0"/>
    <w:link w:val="a4"/>
    <w:rsid w:val="000F7E5E"/>
  </w:style>
  <w:style w:type="paragraph" w:styleId="a5">
    <w:name w:val="footer"/>
    <w:basedOn w:val="a"/>
    <w:link w:val="Char0"/>
    <w:uiPriority w:val="99"/>
    <w:unhideWhenUsed/>
    <w:rsid w:val="000F7E5E"/>
    <w:pPr>
      <w:tabs>
        <w:tab w:val="center" w:pos="4153"/>
        <w:tab w:val="right" w:pos="8306"/>
      </w:tabs>
      <w:spacing w:after="0" w:line="240" w:lineRule="auto"/>
    </w:pPr>
  </w:style>
  <w:style w:type="character" w:customStyle="1" w:styleId="Char0">
    <w:name w:val="Υποσέλιδο Char"/>
    <w:basedOn w:val="a0"/>
    <w:link w:val="a5"/>
    <w:uiPriority w:val="99"/>
    <w:rsid w:val="000F7E5E"/>
  </w:style>
  <w:style w:type="paragraph" w:styleId="a6">
    <w:name w:val="List Paragraph"/>
    <w:basedOn w:val="a"/>
    <w:uiPriority w:val="34"/>
    <w:qFormat/>
    <w:rsid w:val="009F71DD"/>
    <w:pPr>
      <w:ind w:left="720"/>
      <w:contextualSpacing/>
    </w:pPr>
  </w:style>
  <w:style w:type="paragraph" w:customStyle="1" w:styleId="ListParagraph1">
    <w:name w:val="List Paragraph1"/>
    <w:basedOn w:val="a"/>
    <w:rsid w:val="009F71DD"/>
    <w:pPr>
      <w:spacing w:after="0" w:line="240" w:lineRule="auto"/>
      <w:ind w:left="720"/>
    </w:pPr>
    <w:rPr>
      <w:rFonts w:ascii="Times New Roman" w:eastAsia="Times New Roman" w:hAnsi="Times New Roman" w:cs="Times New Roman"/>
      <w:sz w:val="24"/>
      <w:szCs w:val="24"/>
      <w:lang w:eastAsia="el-GR"/>
    </w:rPr>
  </w:style>
  <w:style w:type="paragraph" w:customStyle="1" w:styleId="1">
    <w:name w:val="Παράγραφος λίστας1"/>
    <w:basedOn w:val="a"/>
    <w:rsid w:val="009F71DD"/>
    <w:pPr>
      <w:spacing w:after="0" w:line="240" w:lineRule="auto"/>
      <w:ind w:left="720"/>
    </w:pPr>
    <w:rPr>
      <w:rFonts w:ascii="Times New Roman" w:eastAsia="Times New Roman" w:hAnsi="Times New Roman" w:cs="Times New Roman"/>
      <w:sz w:val="24"/>
      <w:szCs w:val="24"/>
      <w:lang w:eastAsia="el-GR"/>
    </w:rPr>
  </w:style>
  <w:style w:type="paragraph" w:styleId="a7">
    <w:name w:val="Balloon Text"/>
    <w:basedOn w:val="a"/>
    <w:link w:val="Char1"/>
    <w:uiPriority w:val="99"/>
    <w:semiHidden/>
    <w:unhideWhenUsed/>
    <w:rsid w:val="009113FC"/>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9113FC"/>
    <w:rPr>
      <w:rFonts w:ascii="Segoe UI" w:hAnsi="Segoe UI" w:cs="Segoe UI"/>
      <w:sz w:val="18"/>
      <w:szCs w:val="18"/>
    </w:rPr>
  </w:style>
  <w:style w:type="table" w:styleId="a8">
    <w:name w:val="Table Grid"/>
    <w:basedOn w:val="a1"/>
    <w:uiPriority w:val="39"/>
    <w:rsid w:val="005F6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57527">
      <w:bodyDiv w:val="1"/>
      <w:marLeft w:val="0"/>
      <w:marRight w:val="0"/>
      <w:marTop w:val="0"/>
      <w:marBottom w:val="0"/>
      <w:divBdr>
        <w:top w:val="none" w:sz="0" w:space="0" w:color="auto"/>
        <w:left w:val="none" w:sz="0" w:space="0" w:color="auto"/>
        <w:bottom w:val="none" w:sz="0" w:space="0" w:color="auto"/>
        <w:right w:val="none" w:sz="0" w:space="0" w:color="auto"/>
      </w:divBdr>
      <w:divsChild>
        <w:div w:id="1429614743">
          <w:marLeft w:val="0"/>
          <w:marRight w:val="0"/>
          <w:marTop w:val="0"/>
          <w:marBottom w:val="0"/>
          <w:divBdr>
            <w:top w:val="none" w:sz="0" w:space="0" w:color="auto"/>
            <w:left w:val="none" w:sz="0" w:space="0" w:color="auto"/>
            <w:bottom w:val="none" w:sz="0" w:space="0" w:color="auto"/>
            <w:right w:val="none" w:sz="0" w:space="0" w:color="auto"/>
          </w:divBdr>
          <w:divsChild>
            <w:div w:id="1322541575">
              <w:marLeft w:val="0"/>
              <w:marRight w:val="0"/>
              <w:marTop w:val="0"/>
              <w:marBottom w:val="0"/>
              <w:divBdr>
                <w:top w:val="none" w:sz="0" w:space="0" w:color="auto"/>
                <w:left w:val="none" w:sz="0" w:space="0" w:color="auto"/>
                <w:bottom w:val="none" w:sz="0" w:space="0" w:color="auto"/>
                <w:right w:val="none" w:sz="0" w:space="0" w:color="auto"/>
              </w:divBdr>
              <w:divsChild>
                <w:div w:id="1978486942">
                  <w:marLeft w:val="0"/>
                  <w:marRight w:val="0"/>
                  <w:marTop w:val="0"/>
                  <w:marBottom w:val="0"/>
                  <w:divBdr>
                    <w:top w:val="none" w:sz="0" w:space="0" w:color="auto"/>
                    <w:left w:val="none" w:sz="0" w:space="0" w:color="auto"/>
                    <w:bottom w:val="none" w:sz="0" w:space="0" w:color="auto"/>
                    <w:right w:val="none" w:sz="0" w:space="0" w:color="auto"/>
                  </w:divBdr>
                  <w:divsChild>
                    <w:div w:id="1139421457">
                      <w:marLeft w:val="0"/>
                      <w:marRight w:val="0"/>
                      <w:marTop w:val="0"/>
                      <w:marBottom w:val="0"/>
                      <w:divBdr>
                        <w:top w:val="none" w:sz="0" w:space="0" w:color="auto"/>
                        <w:left w:val="none" w:sz="0" w:space="0" w:color="auto"/>
                        <w:bottom w:val="none" w:sz="0" w:space="0" w:color="auto"/>
                        <w:right w:val="none" w:sz="0" w:space="0" w:color="auto"/>
                      </w:divBdr>
                      <w:divsChild>
                        <w:div w:id="1114984842">
                          <w:marLeft w:val="0"/>
                          <w:marRight w:val="0"/>
                          <w:marTop w:val="0"/>
                          <w:marBottom w:val="0"/>
                          <w:divBdr>
                            <w:top w:val="none" w:sz="0" w:space="0" w:color="auto"/>
                            <w:left w:val="none" w:sz="0" w:space="0" w:color="auto"/>
                            <w:bottom w:val="none" w:sz="0" w:space="0" w:color="auto"/>
                            <w:right w:val="none" w:sz="0" w:space="0" w:color="auto"/>
                          </w:divBdr>
                          <w:divsChild>
                            <w:div w:id="392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984695">
          <w:marLeft w:val="0"/>
          <w:marRight w:val="0"/>
          <w:marTop w:val="0"/>
          <w:marBottom w:val="0"/>
          <w:divBdr>
            <w:top w:val="none" w:sz="0" w:space="0" w:color="auto"/>
            <w:left w:val="none" w:sz="0" w:space="0" w:color="auto"/>
            <w:bottom w:val="none" w:sz="0" w:space="0" w:color="auto"/>
            <w:right w:val="none" w:sz="0" w:space="0" w:color="auto"/>
          </w:divBdr>
          <w:divsChild>
            <w:div w:id="1444692419">
              <w:marLeft w:val="0"/>
              <w:marRight w:val="0"/>
              <w:marTop w:val="0"/>
              <w:marBottom w:val="0"/>
              <w:divBdr>
                <w:top w:val="none" w:sz="0" w:space="0" w:color="auto"/>
                <w:left w:val="none" w:sz="0" w:space="0" w:color="auto"/>
                <w:bottom w:val="none" w:sz="0" w:space="0" w:color="auto"/>
                <w:right w:val="none" w:sz="0" w:space="0" w:color="auto"/>
              </w:divBdr>
              <w:divsChild>
                <w:div w:id="517890511">
                  <w:marLeft w:val="0"/>
                  <w:marRight w:val="0"/>
                  <w:marTop w:val="0"/>
                  <w:marBottom w:val="0"/>
                  <w:divBdr>
                    <w:top w:val="none" w:sz="0" w:space="0" w:color="auto"/>
                    <w:left w:val="none" w:sz="0" w:space="0" w:color="auto"/>
                    <w:bottom w:val="none" w:sz="0" w:space="0" w:color="auto"/>
                    <w:right w:val="none" w:sz="0" w:space="0" w:color="auto"/>
                  </w:divBdr>
                  <w:divsChild>
                    <w:div w:id="28722652">
                      <w:marLeft w:val="0"/>
                      <w:marRight w:val="0"/>
                      <w:marTop w:val="0"/>
                      <w:marBottom w:val="0"/>
                      <w:divBdr>
                        <w:top w:val="none" w:sz="0" w:space="0" w:color="auto"/>
                        <w:left w:val="none" w:sz="0" w:space="0" w:color="auto"/>
                        <w:bottom w:val="none" w:sz="0" w:space="0" w:color="auto"/>
                        <w:right w:val="none" w:sz="0" w:space="0" w:color="auto"/>
                      </w:divBdr>
                      <w:divsChild>
                        <w:div w:id="648556830">
                          <w:marLeft w:val="0"/>
                          <w:marRight w:val="0"/>
                          <w:marTop w:val="0"/>
                          <w:marBottom w:val="0"/>
                          <w:divBdr>
                            <w:top w:val="none" w:sz="0" w:space="0" w:color="auto"/>
                            <w:left w:val="none" w:sz="0" w:space="0" w:color="auto"/>
                            <w:bottom w:val="none" w:sz="0" w:space="0" w:color="auto"/>
                            <w:right w:val="none" w:sz="0" w:space="0" w:color="auto"/>
                          </w:divBdr>
                        </w:div>
                        <w:div w:id="13309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34145">
      <w:bodyDiv w:val="1"/>
      <w:marLeft w:val="0"/>
      <w:marRight w:val="0"/>
      <w:marTop w:val="0"/>
      <w:marBottom w:val="0"/>
      <w:divBdr>
        <w:top w:val="none" w:sz="0" w:space="0" w:color="auto"/>
        <w:left w:val="none" w:sz="0" w:space="0" w:color="auto"/>
        <w:bottom w:val="none" w:sz="0" w:space="0" w:color="auto"/>
        <w:right w:val="none" w:sz="0" w:space="0" w:color="auto"/>
      </w:divBdr>
    </w:div>
    <w:div w:id="1453982578">
      <w:bodyDiv w:val="1"/>
      <w:marLeft w:val="0"/>
      <w:marRight w:val="0"/>
      <w:marTop w:val="0"/>
      <w:marBottom w:val="0"/>
      <w:divBdr>
        <w:top w:val="none" w:sz="0" w:space="0" w:color="auto"/>
        <w:left w:val="none" w:sz="0" w:space="0" w:color="auto"/>
        <w:bottom w:val="none" w:sz="0" w:space="0" w:color="auto"/>
        <w:right w:val="none" w:sz="0" w:space="0" w:color="auto"/>
      </w:divBdr>
    </w:div>
    <w:div w:id="17174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uop.gr/index.php/erasmus-policy-stat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rasmus.uop.gr/index.php/-----ect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uop.gr/erasmus" TargetMode="External"/><Relationship Id="rId2" Type="http://schemas.openxmlformats.org/officeDocument/2006/relationships/hyperlink" Target="http://www.uop.gr/erasmus" TargetMode="External"/><Relationship Id="rId1" Type="http://schemas.openxmlformats.org/officeDocument/2006/relationships/hyperlink" Target="mailto:erasmus@uop.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F72E7-9410-494B-BACF-C1F8D5B6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3503</Words>
  <Characters>18920</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Γιωννά</dc:creator>
  <cp:keywords/>
  <dc:description/>
  <cp:lastModifiedBy>Γιωννά</cp:lastModifiedBy>
  <cp:revision>3</cp:revision>
  <cp:lastPrinted>2018-06-19T06:10:00Z</cp:lastPrinted>
  <dcterms:created xsi:type="dcterms:W3CDTF">2018-07-25T07:00:00Z</dcterms:created>
  <dcterms:modified xsi:type="dcterms:W3CDTF">2019-02-14T08:03:00Z</dcterms:modified>
</cp:coreProperties>
</file>